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5F7BD">
      <w:pPr>
        <w:widowControl w:val="0"/>
        <w:autoSpaceDE w:val="0"/>
        <w:autoSpaceDN w:val="0"/>
        <w:adjustRightInd w:val="0"/>
        <w:spacing w:after="0" w:line="200" w:lineRule="exact"/>
        <w:rPr>
          <w:rFonts w:cs="Calibri"/>
          <w:sz w:val="24"/>
          <w:szCs w:val="24"/>
        </w:rPr>
      </w:pPr>
    </w:p>
    <w:p w14:paraId="7F7DBC69">
      <w:pPr>
        <w:widowControl w:val="0"/>
        <w:autoSpaceDE w:val="0"/>
        <w:autoSpaceDN w:val="0"/>
        <w:adjustRightInd w:val="0"/>
        <w:spacing w:after="0" w:line="223" w:lineRule="exact"/>
        <w:rPr>
          <w:rFonts w:cs="Calibri"/>
          <w:sz w:val="24"/>
          <w:szCs w:val="24"/>
        </w:rPr>
      </w:pPr>
    </w:p>
    <w:p w14:paraId="15B2158A">
      <w:pPr>
        <w:widowControl w:val="0"/>
        <w:tabs>
          <w:tab w:val="left" w:pos="330"/>
          <w:tab w:val="left" w:pos="2140"/>
          <w:tab w:val="left" w:pos="4725"/>
          <w:tab w:val="center" w:pos="4819"/>
        </w:tabs>
        <w:autoSpaceDE w:val="0"/>
        <w:autoSpaceDN w:val="0"/>
        <w:adjustRightInd w:val="0"/>
        <w:spacing w:after="120" w:line="240" w:lineRule="auto"/>
        <w:jc w:val="right"/>
        <w:rPr>
          <w:rFonts w:cs="Calibri"/>
          <w:b/>
          <w:bCs/>
          <w:color w:val="0070C0"/>
          <w:sz w:val="24"/>
          <w:szCs w:val="24"/>
        </w:rPr>
      </w:pPr>
      <w:r>
        <w:rPr>
          <w:rFonts w:cs="Calibri"/>
          <w:b/>
          <w:bCs/>
          <w:color w:val="0070C0"/>
          <w:sz w:val="24"/>
          <w:szCs w:val="24"/>
        </w:rPr>
        <w:tab/>
      </w:r>
      <w:r>
        <w:rPr>
          <w:rFonts w:cs="Calibri"/>
          <w:b/>
          <w:bCs/>
          <w:color w:val="0070C0"/>
          <w:sz w:val="24"/>
          <w:szCs w:val="24"/>
        </w:rPr>
        <w:tab/>
      </w:r>
      <w:r>
        <w:rPr>
          <w:rFonts w:cs="Calibri"/>
          <w:b/>
          <w:bCs/>
          <w:color w:val="0070C0"/>
          <w:sz w:val="24"/>
          <w:szCs w:val="24"/>
        </w:rPr>
        <w:t xml:space="preserve">                                    </w:t>
      </w:r>
    </w:p>
    <w:p w14:paraId="67B28844">
      <w:pPr>
        <w:widowControl w:val="0"/>
        <w:tabs>
          <w:tab w:val="left" w:pos="2140"/>
        </w:tabs>
        <w:autoSpaceDE w:val="0"/>
        <w:autoSpaceDN w:val="0"/>
        <w:adjustRightInd w:val="0"/>
        <w:rPr>
          <w:rFonts w:cs="Calibri"/>
          <w:b/>
          <w:bCs/>
          <w:color w:val="0070C0"/>
          <w:sz w:val="24"/>
          <w:szCs w:val="24"/>
        </w:rPr>
      </w:pPr>
      <w:r>
        <w:rPr>
          <w:rFonts w:cs="Calibri"/>
          <w:b/>
          <w:bCs/>
          <w:color w:val="0070C0"/>
          <w:sz w:val="24"/>
          <w:szCs w:val="24"/>
        </w:rPr>
        <w:t>Job Description</w:t>
      </w:r>
      <w:bookmarkStart w:id="1" w:name="_GoBack"/>
      <w:bookmarkEnd w:id="1"/>
    </w:p>
    <w:p w14:paraId="47227A56">
      <w:pPr>
        <w:widowControl w:val="0"/>
        <w:autoSpaceDE w:val="0"/>
        <w:autoSpaceDN w:val="0"/>
        <w:adjustRightInd w:val="0"/>
        <w:spacing w:after="0" w:line="200" w:lineRule="exact"/>
        <w:rPr>
          <w:rFonts w:cs="Calibri"/>
          <w:b/>
          <w:bCs/>
          <w:color w:val="0070C0"/>
          <w:sz w:val="24"/>
          <w:szCs w:val="24"/>
        </w:rPr>
      </w:pPr>
    </w:p>
    <w:p w14:paraId="10BC02B9">
      <w:pPr>
        <w:widowControl w:val="0"/>
        <w:autoSpaceDE w:val="0"/>
        <w:autoSpaceDN w:val="0"/>
        <w:adjustRightInd w:val="0"/>
        <w:spacing w:after="0" w:line="200" w:lineRule="exact"/>
        <w:rPr>
          <w:rFonts w:cs="Calibri"/>
          <w:b/>
          <w:bCs/>
          <w:sz w:val="24"/>
          <w:szCs w:val="24"/>
        </w:rPr>
      </w:pPr>
      <w:r>
        <w:rPr>
          <w:rFonts w:cs="Calibri"/>
          <w:b/>
          <w:bCs/>
          <w:color w:val="0070C0"/>
          <w:sz w:val="24"/>
          <w:szCs w:val="24"/>
        </w:rPr>
        <w:t>Job Title</w:t>
      </w:r>
      <w:r>
        <w:rPr>
          <w:rFonts w:cs="Calibri"/>
          <w:b/>
          <w:bCs/>
          <w:sz w:val="24"/>
          <w:szCs w:val="24"/>
        </w:rPr>
        <w:t xml:space="preserve"> </w:t>
      </w:r>
      <w:r>
        <w:rPr>
          <w:rFonts w:cs="Calibri"/>
          <w:b/>
          <w:bCs/>
          <w:sz w:val="24"/>
          <w:szCs w:val="24"/>
        </w:rPr>
        <w:tab/>
      </w:r>
      <w:r>
        <w:rPr>
          <w:rFonts w:cs="Calibri"/>
          <w:b/>
          <w:bCs/>
          <w:sz w:val="24"/>
          <w:szCs w:val="24"/>
        </w:rPr>
        <w:tab/>
      </w:r>
      <w:r>
        <w:rPr>
          <w:rFonts w:cs="Calibri"/>
          <w:bCs/>
          <w:sz w:val="24"/>
          <w:szCs w:val="24"/>
        </w:rPr>
        <w:t>Education Officer</w:t>
      </w:r>
    </w:p>
    <w:p w14:paraId="17C11FA4">
      <w:pPr>
        <w:keepNext/>
        <w:widowControl w:val="0"/>
        <w:spacing w:after="0" w:line="240" w:lineRule="auto"/>
        <w:outlineLvl w:val="2"/>
        <w:rPr>
          <w:rFonts w:cs="Calibri"/>
          <w:b/>
          <w:snapToGrid w:val="0"/>
          <w:color w:val="0070C0"/>
          <w:sz w:val="24"/>
          <w:szCs w:val="24"/>
          <w:lang w:eastAsia="en-US"/>
        </w:rPr>
      </w:pPr>
    </w:p>
    <w:p w14:paraId="66E7A567">
      <w:pPr>
        <w:widowControl w:val="0"/>
        <w:autoSpaceDE w:val="0"/>
        <w:autoSpaceDN w:val="0"/>
        <w:adjustRightInd w:val="0"/>
        <w:spacing w:after="0" w:line="239" w:lineRule="auto"/>
        <w:ind w:left="2160" w:hanging="2160"/>
        <w:rPr>
          <w:rFonts w:cs="Calibri"/>
          <w:bCs/>
          <w:sz w:val="24"/>
          <w:szCs w:val="24"/>
        </w:rPr>
      </w:pPr>
      <w:r>
        <w:rPr>
          <w:rFonts w:cs="Calibri"/>
          <w:b/>
          <w:bCs/>
          <w:color w:val="0070C0"/>
          <w:sz w:val="24"/>
          <w:szCs w:val="24"/>
        </w:rPr>
        <w:t>Responsible to</w:t>
      </w:r>
      <w:r>
        <w:rPr>
          <w:rFonts w:cs="Calibri"/>
          <w:b/>
          <w:bCs/>
          <w:sz w:val="24"/>
          <w:szCs w:val="24"/>
        </w:rPr>
        <w:t xml:space="preserve">   </w:t>
      </w:r>
      <w:r>
        <w:rPr>
          <w:rFonts w:cs="Calibri"/>
          <w:b/>
          <w:bCs/>
          <w:sz w:val="24"/>
          <w:szCs w:val="24"/>
        </w:rPr>
        <w:tab/>
      </w:r>
      <w:r>
        <w:rPr>
          <w:rFonts w:cs="Calibri"/>
          <w:bCs/>
          <w:sz w:val="24"/>
          <w:szCs w:val="24"/>
        </w:rPr>
        <w:t xml:space="preserve">Senior Education Officer </w:t>
      </w:r>
    </w:p>
    <w:p w14:paraId="5FC13D8D">
      <w:pPr>
        <w:widowControl w:val="0"/>
        <w:autoSpaceDE w:val="0"/>
        <w:autoSpaceDN w:val="0"/>
        <w:adjustRightInd w:val="0"/>
        <w:spacing w:after="0" w:line="239" w:lineRule="auto"/>
        <w:rPr>
          <w:rFonts w:cs="Calibri"/>
          <w:b/>
          <w:bCs/>
          <w:sz w:val="24"/>
          <w:szCs w:val="24"/>
        </w:rPr>
      </w:pPr>
    </w:p>
    <w:p w14:paraId="136341F6">
      <w:pPr>
        <w:widowControl w:val="0"/>
        <w:autoSpaceDE w:val="0"/>
        <w:autoSpaceDN w:val="0"/>
        <w:adjustRightInd w:val="0"/>
        <w:spacing w:after="0" w:line="239" w:lineRule="auto"/>
        <w:rPr>
          <w:rFonts w:cs="Calibri"/>
          <w:bCs/>
          <w:sz w:val="24"/>
          <w:szCs w:val="24"/>
        </w:rPr>
      </w:pPr>
      <w:r>
        <w:rPr>
          <w:rFonts w:cs="Calibri"/>
          <w:b/>
          <w:bCs/>
          <w:color w:val="0070C0"/>
          <w:sz w:val="24"/>
          <w:szCs w:val="24"/>
        </w:rPr>
        <w:t>Department</w:t>
      </w:r>
      <w:r>
        <w:rPr>
          <w:rFonts w:cs="Calibri"/>
          <w:b/>
          <w:bCs/>
          <w:sz w:val="24"/>
          <w:szCs w:val="24"/>
        </w:rPr>
        <w:tab/>
      </w:r>
      <w:r>
        <w:rPr>
          <w:rFonts w:cs="Calibri"/>
          <w:bCs/>
          <w:sz w:val="24"/>
          <w:szCs w:val="24"/>
        </w:rPr>
        <w:tab/>
      </w:r>
      <w:r>
        <w:rPr>
          <w:rFonts w:cs="Calibri"/>
          <w:bCs/>
          <w:sz w:val="24"/>
          <w:szCs w:val="24"/>
        </w:rPr>
        <w:t>Education and Engagement</w:t>
      </w:r>
    </w:p>
    <w:p w14:paraId="61E637E2">
      <w:pPr>
        <w:widowControl w:val="0"/>
        <w:autoSpaceDE w:val="0"/>
        <w:autoSpaceDN w:val="0"/>
        <w:adjustRightInd w:val="0"/>
        <w:spacing w:after="0" w:line="239" w:lineRule="auto"/>
        <w:rPr>
          <w:rFonts w:cs="Calibri"/>
          <w:bCs/>
          <w:sz w:val="24"/>
          <w:szCs w:val="24"/>
        </w:rPr>
      </w:pPr>
    </w:p>
    <w:p w14:paraId="486A70D1">
      <w:pPr>
        <w:widowControl w:val="0"/>
        <w:autoSpaceDE w:val="0"/>
        <w:autoSpaceDN w:val="0"/>
        <w:adjustRightInd w:val="0"/>
        <w:spacing w:after="0" w:line="240" w:lineRule="auto"/>
        <w:ind w:left="2160" w:hanging="2160"/>
        <w:jc w:val="both"/>
        <w:rPr>
          <w:rFonts w:cs="Calibri"/>
          <w:sz w:val="24"/>
          <w:szCs w:val="24"/>
        </w:rPr>
      </w:pPr>
      <w:r>
        <w:rPr>
          <w:rFonts w:cs="Calibri"/>
          <w:b/>
          <w:bCs/>
          <w:color w:val="0070C0"/>
          <w:sz w:val="24"/>
          <w:szCs w:val="24"/>
        </w:rPr>
        <w:t>Purpose of Post</w:t>
      </w:r>
      <w:r>
        <w:rPr>
          <w:rFonts w:cs="Calibri"/>
          <w:b/>
          <w:bCs/>
          <w:color w:val="0070C0"/>
          <w:sz w:val="24"/>
          <w:szCs w:val="24"/>
        </w:rPr>
        <w:tab/>
      </w:r>
      <w:r>
        <w:rPr>
          <w:rFonts w:cs="Calibri"/>
          <w:sz w:val="24"/>
          <w:szCs w:val="24"/>
        </w:rPr>
        <w:t>The Education Officer will play a vital role in inspiring children and families to connect with nature through engaging outdoor learning experiences. They will deliver a dynamic annual programme of curriculum-linked environmental education sessions and wild play activities across the region, with a particular focus on Birmingham. This role supports the development of lifelong connections to nature by bringing learning to life in local green spaces and nature reserves.</w:t>
      </w:r>
    </w:p>
    <w:p w14:paraId="3D5C5053">
      <w:pPr>
        <w:widowControl w:val="0"/>
        <w:autoSpaceDE w:val="0"/>
        <w:autoSpaceDN w:val="0"/>
        <w:adjustRightInd w:val="0"/>
        <w:spacing w:after="0" w:line="239" w:lineRule="auto"/>
        <w:ind w:left="2160" w:hanging="2160"/>
        <w:jc w:val="both"/>
        <w:rPr>
          <w:rFonts w:cs="Calibri"/>
          <w:b/>
          <w:bCs/>
          <w:color w:val="0070C0"/>
          <w:sz w:val="24"/>
          <w:szCs w:val="24"/>
        </w:rPr>
      </w:pPr>
    </w:p>
    <w:p w14:paraId="6590A3C3">
      <w:pPr>
        <w:keepNext/>
        <w:widowControl w:val="0"/>
        <w:spacing w:after="0" w:line="240" w:lineRule="auto"/>
        <w:jc w:val="both"/>
        <w:outlineLvl w:val="2"/>
        <w:rPr>
          <w:rFonts w:cs="Calibri"/>
          <w:b/>
          <w:snapToGrid w:val="0"/>
          <w:color w:val="0070C0"/>
          <w:sz w:val="24"/>
          <w:szCs w:val="24"/>
          <w:lang w:eastAsia="en-US"/>
        </w:rPr>
      </w:pPr>
      <w:r>
        <w:rPr>
          <w:rFonts w:cs="Calibri"/>
          <w:b/>
          <w:snapToGrid w:val="0"/>
          <w:color w:val="0070C0"/>
          <w:sz w:val="24"/>
          <w:szCs w:val="24"/>
          <w:lang w:eastAsia="en-US"/>
        </w:rPr>
        <w:t xml:space="preserve">Key Responsibilities </w:t>
      </w:r>
    </w:p>
    <w:p w14:paraId="440E9CAE">
      <w:pPr>
        <w:widowControl w:val="0"/>
        <w:autoSpaceDE w:val="0"/>
        <w:autoSpaceDN w:val="0"/>
        <w:adjustRightInd w:val="0"/>
        <w:spacing w:after="0" w:line="240" w:lineRule="auto"/>
        <w:rPr>
          <w:rFonts w:cs="Calibri"/>
          <w:sz w:val="24"/>
          <w:szCs w:val="24"/>
        </w:rPr>
      </w:pPr>
    </w:p>
    <w:p w14:paraId="395D5D52">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Support the Senior Education Officer to plan and deliver school outreach programmes from initial contact to delivery within deadlines and criteria.</w:t>
      </w:r>
    </w:p>
    <w:p w14:paraId="6AB5E626">
      <w:pPr>
        <w:widowControl w:val="0"/>
        <w:autoSpaceDE w:val="0"/>
        <w:autoSpaceDN w:val="0"/>
        <w:adjustRightInd w:val="0"/>
        <w:spacing w:after="0" w:line="240" w:lineRule="auto"/>
        <w:ind w:left="720"/>
        <w:jc w:val="both"/>
        <w:rPr>
          <w:rFonts w:cs="Calibri"/>
          <w:sz w:val="24"/>
          <w:szCs w:val="24"/>
        </w:rPr>
      </w:pPr>
    </w:p>
    <w:p w14:paraId="101B84D5">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Actively manage communications with schools, supporting a bookings process to enable optimal use of time for booking educational sessions.</w:t>
      </w:r>
    </w:p>
    <w:p w14:paraId="64D7DEEA">
      <w:pPr>
        <w:widowControl w:val="0"/>
        <w:autoSpaceDE w:val="0"/>
        <w:autoSpaceDN w:val="0"/>
        <w:adjustRightInd w:val="0"/>
        <w:spacing w:after="0" w:line="240" w:lineRule="auto"/>
        <w:jc w:val="both"/>
        <w:rPr>
          <w:rFonts w:cs="Calibri"/>
          <w:sz w:val="24"/>
          <w:szCs w:val="24"/>
        </w:rPr>
      </w:pPr>
    </w:p>
    <w:p w14:paraId="72968A19">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Plan and deliver high quality and inspiring education experiences for children, teachers and other audiences, ensuring everyone has a safe, informative and enjoyable learning experience that ensures their continued involvement, at sites throughout the Birmingham and Black Country region.</w:t>
      </w:r>
    </w:p>
    <w:p w14:paraId="0AE4E7D4">
      <w:pPr>
        <w:widowControl w:val="0"/>
        <w:autoSpaceDE w:val="0"/>
        <w:autoSpaceDN w:val="0"/>
        <w:adjustRightInd w:val="0"/>
        <w:spacing w:after="0" w:line="240" w:lineRule="auto"/>
        <w:jc w:val="both"/>
        <w:rPr>
          <w:rFonts w:cs="Calibri"/>
          <w:sz w:val="24"/>
          <w:szCs w:val="24"/>
        </w:rPr>
      </w:pPr>
    </w:p>
    <w:p w14:paraId="4BFBA775">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Ensure the continued development and improvement of lesson plans and learning resources for a range of curriculum linked education sessions across different Key Stages. Design seasonal sessions that link explicitly to year group programmes of study.</w:t>
      </w:r>
    </w:p>
    <w:p w14:paraId="3AC339D8">
      <w:pPr>
        <w:widowControl w:val="0"/>
        <w:autoSpaceDE w:val="0"/>
        <w:autoSpaceDN w:val="0"/>
        <w:adjustRightInd w:val="0"/>
        <w:spacing w:after="0" w:line="240" w:lineRule="auto"/>
        <w:jc w:val="both"/>
        <w:rPr>
          <w:rFonts w:cs="Calibri"/>
          <w:sz w:val="24"/>
          <w:szCs w:val="24"/>
        </w:rPr>
      </w:pPr>
    </w:p>
    <w:p w14:paraId="03776F2C">
      <w:pPr>
        <w:numPr>
          <w:ilvl w:val="0"/>
          <w:numId w:val="2"/>
        </w:numPr>
        <w:spacing w:after="0"/>
        <w:jc w:val="both"/>
        <w:rPr>
          <w:rFonts w:cs="Calibri"/>
          <w:sz w:val="24"/>
          <w:szCs w:val="24"/>
        </w:rPr>
      </w:pPr>
      <w:r>
        <w:rPr>
          <w:rFonts w:cs="Calibri"/>
          <w:sz w:val="24"/>
          <w:szCs w:val="24"/>
        </w:rPr>
        <w:t>Deliver enrichment/promotional sessions to school staff as needed.</w:t>
      </w:r>
    </w:p>
    <w:p w14:paraId="6CDC186F">
      <w:pPr>
        <w:spacing w:after="0"/>
        <w:jc w:val="both"/>
        <w:rPr>
          <w:rFonts w:cs="Calibri"/>
          <w:sz w:val="24"/>
          <w:szCs w:val="24"/>
        </w:rPr>
      </w:pPr>
    </w:p>
    <w:p w14:paraId="61AD2770">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Gather feedback and evaluation from schools for monitoring purposes, taking photos and videos where permissions are granted for use in marketing materials. Some of this material will be shared with external funding bodies.</w:t>
      </w:r>
    </w:p>
    <w:p w14:paraId="4486ADC2">
      <w:pPr>
        <w:widowControl w:val="0"/>
        <w:autoSpaceDE w:val="0"/>
        <w:autoSpaceDN w:val="0"/>
        <w:adjustRightInd w:val="0"/>
        <w:spacing w:after="0" w:line="240" w:lineRule="auto"/>
        <w:jc w:val="both"/>
        <w:rPr>
          <w:rFonts w:cs="Calibri"/>
          <w:sz w:val="24"/>
          <w:szCs w:val="24"/>
        </w:rPr>
      </w:pPr>
    </w:p>
    <w:p w14:paraId="4ACEE667">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Help continually evaluate the effectiveness of the educational programme through qualitative and quantitative methods to reflect on and adapt our provision and gather evidence for funded work.</w:t>
      </w:r>
    </w:p>
    <w:p w14:paraId="5773418C">
      <w:pPr>
        <w:widowControl w:val="0"/>
        <w:autoSpaceDE w:val="0"/>
        <w:autoSpaceDN w:val="0"/>
        <w:adjustRightInd w:val="0"/>
        <w:spacing w:after="0" w:line="240" w:lineRule="auto"/>
        <w:jc w:val="both"/>
        <w:rPr>
          <w:rFonts w:cs="Calibri"/>
          <w:sz w:val="24"/>
          <w:szCs w:val="24"/>
        </w:rPr>
      </w:pPr>
    </w:p>
    <w:p w14:paraId="5EAA584C">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Ensure a high level of health and safety compliance including risk assessment of all activities and liaison with schools, landowners and site managers.</w:t>
      </w:r>
    </w:p>
    <w:p w14:paraId="172D2301">
      <w:pPr>
        <w:widowControl w:val="0"/>
        <w:autoSpaceDE w:val="0"/>
        <w:autoSpaceDN w:val="0"/>
        <w:adjustRightInd w:val="0"/>
        <w:spacing w:after="0" w:line="240" w:lineRule="auto"/>
        <w:jc w:val="both"/>
        <w:rPr>
          <w:rFonts w:cs="Calibri"/>
          <w:sz w:val="24"/>
          <w:szCs w:val="24"/>
        </w:rPr>
      </w:pPr>
    </w:p>
    <w:p w14:paraId="5377C846">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Help to manage education resources including purchasing decisions and effective storage, ensuring these are audited regularly and new resources are fit for purpose.</w:t>
      </w:r>
    </w:p>
    <w:p w14:paraId="05091C3E">
      <w:pPr>
        <w:widowControl w:val="0"/>
        <w:autoSpaceDE w:val="0"/>
        <w:autoSpaceDN w:val="0"/>
        <w:adjustRightInd w:val="0"/>
        <w:spacing w:after="0" w:line="240" w:lineRule="auto"/>
        <w:jc w:val="both"/>
        <w:rPr>
          <w:rFonts w:cs="Calibri"/>
          <w:sz w:val="24"/>
          <w:szCs w:val="24"/>
        </w:rPr>
      </w:pPr>
    </w:p>
    <w:p w14:paraId="49668DD0">
      <w:pPr>
        <w:widowControl w:val="0"/>
        <w:numPr>
          <w:ilvl w:val="0"/>
          <w:numId w:val="2"/>
        </w:numPr>
        <w:autoSpaceDE w:val="0"/>
        <w:autoSpaceDN w:val="0"/>
        <w:adjustRightInd w:val="0"/>
        <w:spacing w:after="0" w:line="240" w:lineRule="auto"/>
        <w:jc w:val="both"/>
        <w:rPr>
          <w:rFonts w:cs="Calibri"/>
          <w:sz w:val="24"/>
          <w:szCs w:val="24"/>
        </w:rPr>
      </w:pPr>
      <w:r>
        <w:rPr>
          <w:rFonts w:cs="Calibri"/>
          <w:sz w:val="24"/>
          <w:szCs w:val="24"/>
        </w:rPr>
        <w:t>Support the Senior Education Officer and Education and Engagement Manager and other Trust employees to deliver the Trust's Education and Engagement Strategy.</w:t>
      </w:r>
    </w:p>
    <w:p w14:paraId="1AB7CA0D">
      <w:pPr>
        <w:widowControl w:val="0"/>
        <w:autoSpaceDE w:val="0"/>
        <w:autoSpaceDN w:val="0"/>
        <w:adjustRightInd w:val="0"/>
        <w:spacing w:after="0" w:line="240" w:lineRule="auto"/>
        <w:jc w:val="both"/>
        <w:rPr>
          <w:rFonts w:cs="Calibri"/>
          <w:sz w:val="24"/>
          <w:szCs w:val="24"/>
        </w:rPr>
      </w:pPr>
    </w:p>
    <w:p w14:paraId="25533630">
      <w:pPr>
        <w:numPr>
          <w:ilvl w:val="0"/>
          <w:numId w:val="2"/>
        </w:numPr>
        <w:autoSpaceDE w:val="0"/>
        <w:autoSpaceDN w:val="0"/>
        <w:adjustRightInd w:val="0"/>
        <w:spacing w:after="0" w:line="240" w:lineRule="auto"/>
        <w:jc w:val="both"/>
        <w:rPr>
          <w:rFonts w:cs="Calibri"/>
          <w:color w:val="000000"/>
          <w:sz w:val="24"/>
          <w:szCs w:val="24"/>
        </w:rPr>
      </w:pPr>
      <w:r>
        <w:rPr>
          <w:rFonts w:cs="Calibri"/>
          <w:color w:val="000000"/>
          <w:sz w:val="24"/>
          <w:szCs w:val="24"/>
        </w:rPr>
        <w:t>Manage the education inbox and respond to or pass on enquiries.</w:t>
      </w:r>
    </w:p>
    <w:p w14:paraId="413E3C8E">
      <w:pPr>
        <w:autoSpaceDE w:val="0"/>
        <w:autoSpaceDN w:val="0"/>
        <w:adjustRightInd w:val="0"/>
        <w:spacing w:after="0" w:line="240" w:lineRule="auto"/>
        <w:jc w:val="both"/>
        <w:rPr>
          <w:rFonts w:cs="Calibri"/>
          <w:color w:val="000000"/>
          <w:sz w:val="24"/>
          <w:szCs w:val="24"/>
        </w:rPr>
      </w:pPr>
    </w:p>
    <w:p w14:paraId="4EB37F47">
      <w:pPr>
        <w:keepNext/>
        <w:widowControl w:val="0"/>
        <w:spacing w:after="0" w:line="240" w:lineRule="auto"/>
        <w:jc w:val="both"/>
        <w:outlineLvl w:val="2"/>
        <w:rPr>
          <w:rFonts w:cs="Calibri"/>
          <w:b/>
          <w:snapToGrid w:val="0"/>
          <w:color w:val="0070C0"/>
          <w:sz w:val="24"/>
          <w:szCs w:val="24"/>
          <w:lang w:eastAsia="en-US"/>
        </w:rPr>
      </w:pPr>
      <w:r>
        <w:rPr>
          <w:rFonts w:cs="Calibri"/>
          <w:b/>
          <w:snapToGrid w:val="0"/>
          <w:color w:val="0070C0"/>
          <w:sz w:val="24"/>
          <w:szCs w:val="24"/>
          <w:lang w:eastAsia="en-US"/>
        </w:rPr>
        <w:t>Other Duties</w:t>
      </w:r>
    </w:p>
    <w:p w14:paraId="5726B157">
      <w:pPr>
        <w:keepNext/>
        <w:widowControl w:val="0"/>
        <w:spacing w:after="0" w:line="240" w:lineRule="auto"/>
        <w:jc w:val="both"/>
        <w:outlineLvl w:val="2"/>
        <w:rPr>
          <w:rFonts w:cs="Calibri"/>
          <w:b/>
          <w:snapToGrid w:val="0"/>
          <w:color w:val="0070C0"/>
          <w:sz w:val="24"/>
          <w:szCs w:val="24"/>
          <w:lang w:eastAsia="en-US"/>
        </w:rPr>
      </w:pPr>
    </w:p>
    <w:p w14:paraId="026E3BB0">
      <w:pPr>
        <w:widowControl w:val="0"/>
        <w:numPr>
          <w:ilvl w:val="0"/>
          <w:numId w:val="3"/>
        </w:numPr>
        <w:overflowPunct w:val="0"/>
        <w:autoSpaceDE w:val="0"/>
        <w:autoSpaceDN w:val="0"/>
        <w:adjustRightInd w:val="0"/>
        <w:spacing w:after="0" w:line="360" w:lineRule="auto"/>
        <w:jc w:val="both"/>
        <w:rPr>
          <w:rFonts w:cs="Calibri"/>
          <w:sz w:val="24"/>
          <w:szCs w:val="24"/>
        </w:rPr>
      </w:pPr>
      <w:r>
        <w:rPr>
          <w:rFonts w:cs="Calibri"/>
          <w:sz w:val="24"/>
          <w:szCs w:val="24"/>
        </w:rPr>
        <w:t>Attend and contribute to department and team meetings.</w:t>
      </w:r>
    </w:p>
    <w:p w14:paraId="59F483B0">
      <w:pPr>
        <w:numPr>
          <w:ilvl w:val="0"/>
          <w:numId w:val="3"/>
        </w:numPr>
        <w:spacing w:after="0" w:line="360" w:lineRule="auto"/>
        <w:contextualSpacing/>
        <w:jc w:val="both"/>
        <w:rPr>
          <w:rFonts w:eastAsia="Calibri" w:cs="Calibri"/>
          <w:sz w:val="24"/>
          <w:szCs w:val="24"/>
          <w:lang w:eastAsia="en-US"/>
        </w:rPr>
      </w:pPr>
      <w:r>
        <w:rPr>
          <w:rFonts w:eastAsia="Calibri" w:cs="Calibri"/>
          <w:sz w:val="24"/>
          <w:szCs w:val="24"/>
          <w:lang w:eastAsia="en-US"/>
        </w:rPr>
        <w:t>Attend events and help to promote the Trust.</w:t>
      </w:r>
    </w:p>
    <w:p w14:paraId="146CCBFD">
      <w:pPr>
        <w:widowControl w:val="0"/>
        <w:numPr>
          <w:ilvl w:val="0"/>
          <w:numId w:val="3"/>
        </w:numPr>
        <w:overflowPunct w:val="0"/>
        <w:autoSpaceDE w:val="0"/>
        <w:autoSpaceDN w:val="0"/>
        <w:adjustRightInd w:val="0"/>
        <w:spacing w:after="0" w:line="360" w:lineRule="auto"/>
        <w:jc w:val="both"/>
        <w:rPr>
          <w:rFonts w:cs="Calibri"/>
          <w:sz w:val="24"/>
          <w:szCs w:val="24"/>
        </w:rPr>
      </w:pPr>
      <w:r>
        <w:rPr>
          <w:rFonts w:cs="Calibri"/>
          <w:sz w:val="24"/>
          <w:szCs w:val="24"/>
        </w:rPr>
        <w:t>Undertake other duties as requested by line manager that contribute to Trust strategies.</w:t>
      </w:r>
    </w:p>
    <w:p w14:paraId="2CDA533F">
      <w:pPr>
        <w:pStyle w:val="12"/>
        <w:numPr>
          <w:ilvl w:val="0"/>
          <w:numId w:val="3"/>
        </w:numPr>
        <w:spacing w:line="360" w:lineRule="auto"/>
        <w:ind w:left="714" w:hanging="357"/>
        <w:jc w:val="both"/>
        <w:rPr>
          <w:color w:val="auto"/>
        </w:rPr>
      </w:pPr>
      <w:r>
        <w:rPr>
          <w:color w:val="auto"/>
        </w:rPr>
        <w:t>Act as an ambassador for the Trust, constructing and maintaining positive relationships with volunteers, visitors and other organisations.</w:t>
      </w:r>
    </w:p>
    <w:p w14:paraId="4EB8636A">
      <w:pPr>
        <w:pStyle w:val="12"/>
        <w:numPr>
          <w:ilvl w:val="0"/>
          <w:numId w:val="3"/>
        </w:numPr>
        <w:spacing w:line="360" w:lineRule="auto"/>
        <w:ind w:left="714" w:hanging="357"/>
        <w:jc w:val="both"/>
      </w:pPr>
      <w:r>
        <w:t>Encourage, develop and support volunteer involvement in Trust work.</w:t>
      </w:r>
    </w:p>
    <w:p w14:paraId="12CAB6F2">
      <w:pPr>
        <w:widowControl w:val="0"/>
        <w:numPr>
          <w:ilvl w:val="0"/>
          <w:numId w:val="3"/>
        </w:numPr>
        <w:overflowPunct w:val="0"/>
        <w:autoSpaceDE w:val="0"/>
        <w:autoSpaceDN w:val="0"/>
        <w:adjustRightInd w:val="0"/>
        <w:spacing w:after="0" w:line="360" w:lineRule="auto"/>
        <w:jc w:val="both"/>
        <w:rPr>
          <w:rFonts w:eastAsia="Calibri" w:cs="Calibri"/>
          <w:sz w:val="24"/>
          <w:szCs w:val="24"/>
          <w:lang w:eastAsia="en-US"/>
        </w:rPr>
      </w:pPr>
      <w:r>
        <w:rPr>
          <w:rFonts w:cs="Calibri"/>
          <w:sz w:val="24"/>
          <w:szCs w:val="24"/>
        </w:rPr>
        <w:t>Abide by all Trust policies including equal opportunities, health &amp; safety, safeguarding and data protection.</w:t>
      </w:r>
    </w:p>
    <w:p w14:paraId="106CA4F5">
      <w:pPr>
        <w:widowControl w:val="0"/>
        <w:overflowPunct w:val="0"/>
        <w:autoSpaceDE w:val="0"/>
        <w:autoSpaceDN w:val="0"/>
        <w:adjustRightInd w:val="0"/>
        <w:spacing w:after="0" w:line="238" w:lineRule="auto"/>
        <w:jc w:val="both"/>
        <w:rPr>
          <w:rFonts w:cs="Calibri"/>
          <w:sz w:val="24"/>
          <w:szCs w:val="24"/>
        </w:rPr>
      </w:pPr>
    </w:p>
    <w:p w14:paraId="33DB800F">
      <w:pPr>
        <w:widowControl w:val="0"/>
        <w:overflowPunct w:val="0"/>
        <w:autoSpaceDE w:val="0"/>
        <w:autoSpaceDN w:val="0"/>
        <w:adjustRightInd w:val="0"/>
        <w:spacing w:after="0" w:line="240" w:lineRule="auto"/>
        <w:ind w:left="720"/>
        <w:rPr>
          <w:rFonts w:eastAsia="Calibri" w:cs="Calibri"/>
          <w:sz w:val="24"/>
          <w:szCs w:val="24"/>
          <w:lang w:eastAsia="en-US"/>
        </w:rPr>
      </w:pPr>
    </w:p>
    <w:p w14:paraId="5DC671CC">
      <w:pPr>
        <w:spacing w:after="0" w:line="240" w:lineRule="auto"/>
        <w:rPr>
          <w:rFonts w:cs="Calibri"/>
          <w:b/>
          <w:snapToGrid w:val="0"/>
          <w:color w:val="0070C0"/>
          <w:sz w:val="24"/>
          <w:szCs w:val="24"/>
          <w:lang w:eastAsia="en-US"/>
        </w:rPr>
      </w:pPr>
      <w:r>
        <w:rPr>
          <w:rFonts w:cs="Calibri"/>
          <w:b/>
          <w:snapToGrid w:val="0"/>
          <w:color w:val="0070C0"/>
          <w:sz w:val="24"/>
          <w:szCs w:val="24"/>
          <w:lang w:eastAsia="en-US"/>
        </w:rPr>
        <w:br w:type="page"/>
      </w:r>
    </w:p>
    <w:p w14:paraId="06CC8284">
      <w:pPr>
        <w:keepNext/>
        <w:widowControl w:val="0"/>
        <w:spacing w:after="0" w:line="240" w:lineRule="auto"/>
        <w:outlineLvl w:val="2"/>
        <w:rPr>
          <w:rFonts w:cs="Calibri"/>
          <w:b/>
          <w:snapToGrid w:val="0"/>
          <w:color w:val="0070C0"/>
          <w:sz w:val="24"/>
          <w:szCs w:val="24"/>
          <w:lang w:eastAsia="en-US"/>
        </w:rPr>
      </w:pPr>
      <w:r>
        <w:rPr>
          <w:rFonts w:cs="Calibri"/>
          <w:b/>
          <w:snapToGrid w:val="0"/>
          <w:color w:val="0070C0"/>
          <w:sz w:val="24"/>
          <w:szCs w:val="24"/>
          <w:lang w:eastAsia="en-US"/>
        </w:rPr>
        <w:t>Person Specification</w:t>
      </w:r>
    </w:p>
    <w:p w14:paraId="6EB7A4DE">
      <w:pPr>
        <w:keepNext/>
        <w:spacing w:before="240" w:after="60" w:line="240" w:lineRule="auto"/>
        <w:contextualSpacing/>
        <w:jc w:val="both"/>
        <w:outlineLvl w:val="2"/>
        <w:rPr>
          <w:rFonts w:cs="Calibri"/>
          <w:b/>
          <w:color w:val="0070C0"/>
          <w:sz w:val="24"/>
          <w:szCs w:val="24"/>
        </w:rPr>
      </w:pPr>
    </w:p>
    <w:tbl>
      <w:tblPr>
        <w:tblStyle w:val="3"/>
        <w:tblW w:w="0" w:type="auto"/>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autofit"/>
        <w:tblCellMar>
          <w:top w:w="0" w:type="dxa"/>
          <w:left w:w="108" w:type="dxa"/>
          <w:bottom w:w="0" w:type="dxa"/>
          <w:right w:w="108" w:type="dxa"/>
        </w:tblCellMar>
      </w:tblPr>
      <w:tblGrid>
        <w:gridCol w:w="6582"/>
        <w:gridCol w:w="1539"/>
        <w:gridCol w:w="1508"/>
      </w:tblGrid>
      <w:tr w14:paraId="587B2CD8">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163CCB37">
            <w:pPr>
              <w:spacing w:after="120" w:line="240" w:lineRule="auto"/>
              <w:outlineLvl w:val="0"/>
              <w:rPr>
                <w:rFonts w:cs="Calibri"/>
                <w:bCs/>
                <w:color w:val="0070C0"/>
                <w:sz w:val="24"/>
                <w:szCs w:val="24"/>
              </w:rPr>
            </w:pPr>
            <w:r>
              <w:rPr>
                <w:rFonts w:cs="Calibri"/>
                <w:bCs/>
                <w:color w:val="0070C0"/>
                <w:sz w:val="24"/>
                <w:szCs w:val="24"/>
              </w:rPr>
              <w:t>Qualifications</w:t>
            </w:r>
          </w:p>
        </w:tc>
        <w:tc>
          <w:tcPr>
            <w:tcW w:w="1539" w:type="dxa"/>
            <w:vAlign w:val="center"/>
          </w:tcPr>
          <w:p w14:paraId="354CCC7B">
            <w:pPr>
              <w:spacing w:after="120" w:line="240" w:lineRule="auto"/>
              <w:jc w:val="center"/>
              <w:outlineLvl w:val="0"/>
              <w:rPr>
                <w:rFonts w:cs="Calibri"/>
                <w:bCs/>
                <w:color w:val="0070C0"/>
                <w:sz w:val="24"/>
                <w:szCs w:val="24"/>
              </w:rPr>
            </w:pPr>
            <w:r>
              <w:rPr>
                <w:rFonts w:cs="Calibri"/>
                <w:bCs/>
                <w:color w:val="0070C0"/>
                <w:sz w:val="24"/>
                <w:szCs w:val="24"/>
              </w:rPr>
              <w:t>Essential</w:t>
            </w:r>
          </w:p>
        </w:tc>
        <w:tc>
          <w:tcPr>
            <w:tcW w:w="1508" w:type="dxa"/>
            <w:vAlign w:val="center"/>
          </w:tcPr>
          <w:p w14:paraId="5E4D59CE">
            <w:pPr>
              <w:spacing w:after="120" w:line="240" w:lineRule="auto"/>
              <w:jc w:val="center"/>
              <w:outlineLvl w:val="0"/>
              <w:rPr>
                <w:rFonts w:cs="Calibri"/>
                <w:bCs/>
                <w:color w:val="0070C0"/>
                <w:sz w:val="24"/>
                <w:szCs w:val="24"/>
              </w:rPr>
            </w:pPr>
            <w:r>
              <w:rPr>
                <w:rFonts w:cs="Calibri"/>
                <w:bCs/>
                <w:color w:val="0070C0"/>
                <w:sz w:val="24"/>
                <w:szCs w:val="24"/>
              </w:rPr>
              <w:t>Desirable</w:t>
            </w:r>
          </w:p>
        </w:tc>
      </w:tr>
      <w:tr w14:paraId="68C90D7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087441B9">
            <w:pPr>
              <w:pStyle w:val="12"/>
            </w:pPr>
            <w:r>
              <w:t xml:space="preserve">Degree in a relevant subject (relating to the environment, engagement or education), </w:t>
            </w:r>
            <w:r>
              <w:rPr>
                <w:i/>
              </w:rPr>
              <w:t>or</w:t>
            </w:r>
            <w:r>
              <w:t xml:space="preserve"> equivalent experience</w:t>
            </w:r>
          </w:p>
        </w:tc>
        <w:tc>
          <w:tcPr>
            <w:tcW w:w="1539" w:type="dxa"/>
            <w:vAlign w:val="center"/>
          </w:tcPr>
          <w:p w14:paraId="6F0A1538">
            <w:pPr>
              <w:spacing w:after="120" w:line="240" w:lineRule="auto"/>
              <w:jc w:val="center"/>
              <w:outlineLvl w:val="0"/>
              <w:rPr>
                <w:rFonts w:cs="Calibri"/>
                <w:b/>
                <w:bCs/>
                <w:sz w:val="24"/>
                <w:szCs w:val="24"/>
              </w:rPr>
            </w:pPr>
            <w:r>
              <w:rPr>
                <w:rFonts w:ascii="Segoe UI Symbol" w:hAnsi="Segoe UI Symbol" w:eastAsia="MS Gothic" w:cs="Segoe UI Symbol"/>
                <w:b/>
                <w:bCs/>
                <w:sz w:val="24"/>
                <w:szCs w:val="24"/>
              </w:rPr>
              <w:t>✓</w:t>
            </w:r>
          </w:p>
        </w:tc>
        <w:tc>
          <w:tcPr>
            <w:tcW w:w="1508" w:type="dxa"/>
            <w:vAlign w:val="center"/>
          </w:tcPr>
          <w:p w14:paraId="70DCFC54">
            <w:pPr>
              <w:spacing w:after="120" w:line="240" w:lineRule="auto"/>
              <w:jc w:val="center"/>
              <w:outlineLvl w:val="0"/>
              <w:rPr>
                <w:rFonts w:cs="Calibri"/>
                <w:b/>
                <w:bCs/>
                <w:color w:val="0070C0"/>
                <w:sz w:val="24"/>
                <w:szCs w:val="24"/>
              </w:rPr>
            </w:pPr>
          </w:p>
        </w:tc>
      </w:tr>
      <w:tr w14:paraId="1FA108C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2FF52785">
            <w:pPr>
              <w:pStyle w:val="12"/>
            </w:pPr>
            <w:r>
              <w:t>Teaching qualification</w:t>
            </w:r>
          </w:p>
        </w:tc>
        <w:tc>
          <w:tcPr>
            <w:tcW w:w="1539" w:type="dxa"/>
            <w:vAlign w:val="center"/>
          </w:tcPr>
          <w:p w14:paraId="6AF9E1C5">
            <w:pPr>
              <w:spacing w:after="120" w:line="240" w:lineRule="auto"/>
              <w:jc w:val="center"/>
              <w:outlineLvl w:val="0"/>
              <w:rPr>
                <w:rFonts w:eastAsia="MS Gothic" w:cs="Calibri"/>
                <w:b/>
                <w:bCs/>
                <w:sz w:val="24"/>
                <w:szCs w:val="24"/>
              </w:rPr>
            </w:pPr>
          </w:p>
        </w:tc>
        <w:tc>
          <w:tcPr>
            <w:tcW w:w="1508" w:type="dxa"/>
            <w:vAlign w:val="center"/>
          </w:tcPr>
          <w:p w14:paraId="0F573536">
            <w:pPr>
              <w:spacing w:after="120" w:line="240" w:lineRule="auto"/>
              <w:jc w:val="center"/>
              <w:outlineLvl w:val="0"/>
              <w:rPr>
                <w:rFonts w:cs="Calibri"/>
                <w:b/>
                <w:bCs/>
                <w:color w:val="0070C0"/>
                <w:sz w:val="24"/>
                <w:szCs w:val="24"/>
              </w:rPr>
            </w:pPr>
            <w:r>
              <w:rPr>
                <w:rFonts w:ascii="Segoe UI Symbol" w:hAnsi="Segoe UI Symbol" w:eastAsia="MS Gothic" w:cs="Segoe UI Symbol"/>
                <w:b/>
                <w:bCs/>
                <w:sz w:val="24"/>
                <w:szCs w:val="24"/>
              </w:rPr>
              <w:t>✓</w:t>
            </w:r>
          </w:p>
        </w:tc>
      </w:tr>
      <w:tr w14:paraId="355F1253">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04156353">
            <w:pPr>
              <w:spacing w:after="120" w:line="240" w:lineRule="auto"/>
              <w:outlineLvl w:val="0"/>
              <w:rPr>
                <w:rFonts w:cs="Calibri"/>
                <w:bCs/>
                <w:color w:val="0070C0"/>
                <w:sz w:val="24"/>
                <w:szCs w:val="24"/>
              </w:rPr>
            </w:pPr>
            <w:r>
              <w:rPr>
                <w:rFonts w:cs="Calibri"/>
                <w:bCs/>
                <w:color w:val="0070C0"/>
                <w:sz w:val="24"/>
                <w:szCs w:val="24"/>
              </w:rPr>
              <w:t>Experience</w:t>
            </w:r>
          </w:p>
        </w:tc>
        <w:tc>
          <w:tcPr>
            <w:tcW w:w="1539" w:type="dxa"/>
            <w:vAlign w:val="center"/>
          </w:tcPr>
          <w:p w14:paraId="43900E44">
            <w:pPr>
              <w:spacing w:after="120" w:line="240" w:lineRule="auto"/>
              <w:jc w:val="center"/>
              <w:outlineLvl w:val="0"/>
              <w:rPr>
                <w:rFonts w:cs="Calibri"/>
                <w:bCs/>
                <w:color w:val="0070C0"/>
                <w:sz w:val="24"/>
                <w:szCs w:val="24"/>
              </w:rPr>
            </w:pPr>
            <w:r>
              <w:rPr>
                <w:rFonts w:cs="Calibri"/>
                <w:bCs/>
                <w:color w:val="0070C0"/>
                <w:sz w:val="24"/>
                <w:szCs w:val="24"/>
              </w:rPr>
              <w:t>Essential</w:t>
            </w:r>
          </w:p>
        </w:tc>
        <w:tc>
          <w:tcPr>
            <w:tcW w:w="1508" w:type="dxa"/>
            <w:vAlign w:val="center"/>
          </w:tcPr>
          <w:p w14:paraId="08801981">
            <w:pPr>
              <w:spacing w:after="120" w:line="240" w:lineRule="auto"/>
              <w:jc w:val="center"/>
              <w:outlineLvl w:val="0"/>
              <w:rPr>
                <w:rFonts w:cs="Calibri"/>
                <w:bCs/>
                <w:color w:val="0070C0"/>
                <w:sz w:val="24"/>
                <w:szCs w:val="24"/>
              </w:rPr>
            </w:pPr>
            <w:r>
              <w:rPr>
                <w:rFonts w:cs="Calibri"/>
                <w:bCs/>
                <w:color w:val="0070C0"/>
                <w:sz w:val="24"/>
                <w:szCs w:val="24"/>
              </w:rPr>
              <w:t>Desirable</w:t>
            </w:r>
          </w:p>
        </w:tc>
      </w:tr>
      <w:tr w14:paraId="38274953">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4DBEDB71">
            <w:pPr>
              <w:pStyle w:val="12"/>
            </w:pPr>
            <w:r>
              <w:t>Leading workshops, teaching or supporting teaching in schools</w:t>
            </w:r>
          </w:p>
        </w:tc>
        <w:tc>
          <w:tcPr>
            <w:tcW w:w="1539" w:type="dxa"/>
            <w:vAlign w:val="center"/>
          </w:tcPr>
          <w:p w14:paraId="2DF54E00">
            <w:pPr>
              <w:spacing w:after="120" w:line="240" w:lineRule="auto"/>
              <w:jc w:val="center"/>
              <w:outlineLvl w:val="0"/>
              <w:rPr>
                <w:rFonts w:eastAsia="MS Gothic" w:cs="Calibri"/>
                <w:b/>
                <w:bCs/>
                <w:sz w:val="24"/>
                <w:szCs w:val="24"/>
              </w:rPr>
            </w:pPr>
            <w:r>
              <w:rPr>
                <w:rFonts w:ascii="Segoe UI Symbol" w:hAnsi="Segoe UI Symbol" w:eastAsia="MS Gothic" w:cs="Segoe UI Symbol"/>
                <w:b/>
                <w:bCs/>
                <w:sz w:val="24"/>
                <w:szCs w:val="24"/>
              </w:rPr>
              <w:t>✓</w:t>
            </w:r>
          </w:p>
        </w:tc>
        <w:tc>
          <w:tcPr>
            <w:tcW w:w="1508" w:type="dxa"/>
            <w:vAlign w:val="center"/>
          </w:tcPr>
          <w:p w14:paraId="36BE2892">
            <w:pPr>
              <w:spacing w:after="120" w:line="240" w:lineRule="auto"/>
              <w:jc w:val="center"/>
              <w:outlineLvl w:val="0"/>
              <w:rPr>
                <w:rFonts w:cs="Calibri"/>
                <w:b/>
                <w:bCs/>
                <w:color w:val="0070C0"/>
                <w:sz w:val="24"/>
                <w:szCs w:val="24"/>
              </w:rPr>
            </w:pPr>
          </w:p>
        </w:tc>
      </w:tr>
      <w:tr w14:paraId="6F171776">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PrEx>
        <w:tc>
          <w:tcPr>
            <w:tcW w:w="6582" w:type="dxa"/>
            <w:vAlign w:val="center"/>
          </w:tcPr>
          <w:p w14:paraId="35C7B52C">
            <w:pPr>
              <w:pStyle w:val="12"/>
            </w:pPr>
            <w:r>
              <w:t>Development and maintenance of strong networks and partnerships in an education or engagement context</w:t>
            </w:r>
          </w:p>
        </w:tc>
        <w:tc>
          <w:tcPr>
            <w:tcW w:w="1539" w:type="dxa"/>
            <w:vAlign w:val="center"/>
          </w:tcPr>
          <w:p w14:paraId="497E343F">
            <w:pPr>
              <w:spacing w:after="120" w:line="240" w:lineRule="auto"/>
              <w:jc w:val="center"/>
              <w:outlineLvl w:val="0"/>
              <w:rPr>
                <w:rFonts w:cs="Calibri"/>
                <w:b/>
                <w:bCs/>
                <w:color w:val="0070C0"/>
                <w:sz w:val="24"/>
                <w:szCs w:val="24"/>
              </w:rPr>
            </w:pPr>
          </w:p>
        </w:tc>
        <w:tc>
          <w:tcPr>
            <w:tcW w:w="1508" w:type="dxa"/>
            <w:vAlign w:val="center"/>
          </w:tcPr>
          <w:p w14:paraId="09A737DF">
            <w:pPr>
              <w:spacing w:after="120" w:line="240" w:lineRule="auto"/>
              <w:jc w:val="center"/>
              <w:outlineLvl w:val="0"/>
              <w:rPr>
                <w:rFonts w:eastAsia="MS Gothic" w:cs="Calibri"/>
                <w:b/>
                <w:bCs/>
                <w:sz w:val="24"/>
                <w:szCs w:val="24"/>
              </w:rPr>
            </w:pPr>
            <w:r>
              <w:rPr>
                <w:rFonts w:ascii="Segoe UI Symbol" w:hAnsi="Segoe UI Symbol" w:eastAsia="MS Gothic" w:cs="Segoe UI Symbol"/>
                <w:b/>
                <w:bCs/>
                <w:sz w:val="24"/>
                <w:szCs w:val="24"/>
              </w:rPr>
              <w:t>✓</w:t>
            </w:r>
          </w:p>
        </w:tc>
      </w:tr>
      <w:tr w14:paraId="5D572619">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096A0398">
            <w:pPr>
              <w:pStyle w:val="13"/>
              <w:spacing w:line="276" w:lineRule="auto"/>
              <w:rPr>
                <w:rFonts w:cs="Calibri"/>
                <w:sz w:val="24"/>
                <w:szCs w:val="24"/>
              </w:rPr>
            </w:pPr>
            <w:r>
              <w:rPr>
                <w:rFonts w:cs="Calibri"/>
                <w:sz w:val="24"/>
                <w:szCs w:val="24"/>
              </w:rPr>
              <w:t xml:space="preserve">Developing learning resources to support educational or engagement activity </w:t>
            </w:r>
          </w:p>
        </w:tc>
        <w:tc>
          <w:tcPr>
            <w:tcW w:w="1539" w:type="dxa"/>
            <w:vAlign w:val="center"/>
          </w:tcPr>
          <w:p w14:paraId="431892BE">
            <w:pPr>
              <w:spacing w:after="120" w:line="240" w:lineRule="auto"/>
              <w:jc w:val="center"/>
              <w:outlineLvl w:val="0"/>
              <w:rPr>
                <w:rFonts w:eastAsia="MS Gothic" w:cs="Calibri"/>
                <w:b/>
                <w:bCs/>
                <w:sz w:val="24"/>
                <w:szCs w:val="24"/>
              </w:rPr>
            </w:pPr>
          </w:p>
        </w:tc>
        <w:tc>
          <w:tcPr>
            <w:tcW w:w="1508" w:type="dxa"/>
            <w:vAlign w:val="center"/>
          </w:tcPr>
          <w:p w14:paraId="20C26987">
            <w:pPr>
              <w:spacing w:after="120" w:line="240" w:lineRule="auto"/>
              <w:jc w:val="center"/>
              <w:outlineLvl w:val="0"/>
              <w:rPr>
                <w:rFonts w:eastAsia="MS Gothic" w:cs="Calibri"/>
                <w:b/>
                <w:bCs/>
                <w:sz w:val="24"/>
                <w:szCs w:val="24"/>
              </w:rPr>
            </w:pPr>
            <w:r>
              <w:rPr>
                <w:rFonts w:ascii="Segoe UI Symbol" w:hAnsi="Segoe UI Symbol" w:eastAsia="MS Gothic" w:cs="Segoe UI Symbol"/>
                <w:b/>
                <w:bCs/>
                <w:sz w:val="24"/>
                <w:szCs w:val="24"/>
              </w:rPr>
              <w:t>✓</w:t>
            </w:r>
          </w:p>
        </w:tc>
      </w:tr>
      <w:tr w14:paraId="2229529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441DDE5E">
            <w:pPr>
              <w:pStyle w:val="12"/>
              <w:rPr>
                <w:color w:val="0070C0"/>
              </w:rPr>
            </w:pPr>
            <w:r>
              <w:rPr>
                <w:color w:val="0070C0"/>
              </w:rPr>
              <w:t>Knowledge</w:t>
            </w:r>
          </w:p>
        </w:tc>
        <w:tc>
          <w:tcPr>
            <w:tcW w:w="1539" w:type="dxa"/>
            <w:vAlign w:val="center"/>
          </w:tcPr>
          <w:p w14:paraId="48E88E6B">
            <w:pPr>
              <w:spacing w:after="120" w:line="240" w:lineRule="auto"/>
              <w:jc w:val="center"/>
              <w:outlineLvl w:val="0"/>
              <w:rPr>
                <w:rFonts w:cs="Calibri"/>
                <w:bCs/>
                <w:color w:val="0070C0"/>
                <w:sz w:val="24"/>
                <w:szCs w:val="24"/>
              </w:rPr>
            </w:pPr>
            <w:r>
              <w:rPr>
                <w:rFonts w:cs="Calibri"/>
                <w:bCs/>
                <w:color w:val="0070C0"/>
                <w:sz w:val="24"/>
                <w:szCs w:val="24"/>
              </w:rPr>
              <w:t>Essential</w:t>
            </w:r>
          </w:p>
        </w:tc>
        <w:tc>
          <w:tcPr>
            <w:tcW w:w="1508" w:type="dxa"/>
            <w:vAlign w:val="center"/>
          </w:tcPr>
          <w:p w14:paraId="1CAC89A5">
            <w:pPr>
              <w:spacing w:after="120" w:line="240" w:lineRule="auto"/>
              <w:jc w:val="center"/>
              <w:outlineLvl w:val="0"/>
              <w:rPr>
                <w:rFonts w:cs="Calibri"/>
                <w:bCs/>
                <w:color w:val="0070C0"/>
                <w:sz w:val="24"/>
                <w:szCs w:val="24"/>
              </w:rPr>
            </w:pPr>
            <w:r>
              <w:rPr>
                <w:rFonts w:cs="Calibri"/>
                <w:bCs/>
                <w:color w:val="0070C0"/>
                <w:sz w:val="24"/>
                <w:szCs w:val="24"/>
              </w:rPr>
              <w:t>Desirable</w:t>
            </w:r>
          </w:p>
        </w:tc>
      </w:tr>
      <w:tr w14:paraId="7C5DE47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019E54EE">
            <w:pPr>
              <w:pStyle w:val="13"/>
              <w:spacing w:line="276" w:lineRule="auto"/>
              <w:rPr>
                <w:rFonts w:cs="Calibri"/>
                <w:color w:val="000000"/>
                <w:sz w:val="24"/>
                <w:szCs w:val="24"/>
              </w:rPr>
            </w:pPr>
            <w:r>
              <w:rPr>
                <w:rFonts w:cs="Calibri"/>
                <w:sz w:val="24"/>
                <w:szCs w:val="24"/>
              </w:rPr>
              <w:t>Good understanding of the National Curriculum</w:t>
            </w:r>
          </w:p>
        </w:tc>
        <w:tc>
          <w:tcPr>
            <w:tcW w:w="1539" w:type="dxa"/>
            <w:vAlign w:val="center"/>
          </w:tcPr>
          <w:p w14:paraId="322CE6F5">
            <w:pPr>
              <w:spacing w:after="120" w:line="240" w:lineRule="auto"/>
              <w:jc w:val="center"/>
              <w:outlineLvl w:val="0"/>
              <w:rPr>
                <w:rFonts w:eastAsia="MS Gothic" w:cs="Calibri"/>
                <w:b/>
                <w:bCs/>
                <w:sz w:val="24"/>
                <w:szCs w:val="24"/>
              </w:rPr>
            </w:pPr>
            <w:r>
              <w:rPr>
                <w:rFonts w:eastAsia="MS Gothic" w:cs="Calibri"/>
                <w:b/>
                <w:bCs/>
                <w:sz w:val="24"/>
                <w:szCs w:val="24"/>
              </w:rPr>
              <w:sym w:font="Wingdings" w:char="F0FC"/>
            </w:r>
          </w:p>
        </w:tc>
        <w:tc>
          <w:tcPr>
            <w:tcW w:w="1508" w:type="dxa"/>
            <w:vAlign w:val="center"/>
          </w:tcPr>
          <w:p w14:paraId="7FA51D31">
            <w:pPr>
              <w:spacing w:after="120" w:line="240" w:lineRule="auto"/>
              <w:jc w:val="center"/>
              <w:outlineLvl w:val="0"/>
              <w:rPr>
                <w:rFonts w:eastAsia="MS Gothic" w:cs="Calibri"/>
                <w:b/>
                <w:bCs/>
                <w:sz w:val="24"/>
                <w:szCs w:val="24"/>
              </w:rPr>
            </w:pPr>
          </w:p>
        </w:tc>
      </w:tr>
      <w:tr w14:paraId="0B44182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39135F0F">
            <w:pPr>
              <w:pStyle w:val="13"/>
              <w:spacing w:line="276" w:lineRule="auto"/>
              <w:rPr>
                <w:rFonts w:cs="Calibri"/>
                <w:color w:val="000000"/>
                <w:sz w:val="24"/>
                <w:szCs w:val="24"/>
              </w:rPr>
            </w:pPr>
            <w:r>
              <w:rPr>
                <w:rFonts w:cs="Calibri"/>
                <w:sz w:val="24"/>
                <w:szCs w:val="24"/>
              </w:rPr>
              <w:t>Good knowledge of habitats, wildlife and wild places found in Birmingham and the Black Country</w:t>
            </w:r>
          </w:p>
        </w:tc>
        <w:tc>
          <w:tcPr>
            <w:tcW w:w="1539" w:type="dxa"/>
            <w:vAlign w:val="center"/>
          </w:tcPr>
          <w:p w14:paraId="37329F96">
            <w:pPr>
              <w:spacing w:after="120" w:line="240" w:lineRule="auto"/>
              <w:jc w:val="center"/>
              <w:outlineLvl w:val="0"/>
              <w:rPr>
                <w:rFonts w:eastAsia="MS Gothic" w:cs="Calibri"/>
                <w:b/>
                <w:bCs/>
                <w:sz w:val="24"/>
                <w:szCs w:val="24"/>
              </w:rPr>
            </w:pPr>
          </w:p>
        </w:tc>
        <w:tc>
          <w:tcPr>
            <w:tcW w:w="1508" w:type="dxa"/>
            <w:vAlign w:val="center"/>
          </w:tcPr>
          <w:p w14:paraId="2C210EDE">
            <w:pPr>
              <w:spacing w:after="120" w:line="240" w:lineRule="auto"/>
              <w:jc w:val="center"/>
              <w:outlineLvl w:val="0"/>
              <w:rPr>
                <w:rFonts w:eastAsia="MS Gothic" w:cs="Calibri"/>
                <w:b/>
                <w:bCs/>
                <w:sz w:val="24"/>
                <w:szCs w:val="24"/>
              </w:rPr>
            </w:pPr>
            <w:r>
              <w:rPr>
                <w:rFonts w:eastAsia="MS Gothic" w:cs="Calibri"/>
                <w:b/>
                <w:bCs/>
                <w:sz w:val="24"/>
                <w:szCs w:val="24"/>
              </w:rPr>
              <w:sym w:font="Wingdings" w:char="F0FC"/>
            </w:r>
          </w:p>
        </w:tc>
      </w:tr>
      <w:tr w14:paraId="00C37246">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tcPr>
          <w:p w14:paraId="4E5FE1F7">
            <w:pPr>
              <w:pStyle w:val="13"/>
              <w:rPr>
                <w:rFonts w:cs="Calibri"/>
                <w:sz w:val="24"/>
                <w:szCs w:val="24"/>
              </w:rPr>
            </w:pPr>
            <w:r>
              <w:rPr>
                <w:rFonts w:cs="Calibri"/>
                <w:sz w:val="24"/>
                <w:szCs w:val="24"/>
              </w:rPr>
              <w:t xml:space="preserve">Knowledge of the </w:t>
            </w:r>
            <w:r>
              <w:rPr>
                <w:rFonts w:cs="Calibri"/>
                <w:color w:val="000000"/>
                <w:sz w:val="24"/>
                <w:szCs w:val="24"/>
              </w:rPr>
              <w:t>Wildlife Trusts’ national and local engagement work</w:t>
            </w:r>
          </w:p>
        </w:tc>
        <w:tc>
          <w:tcPr>
            <w:tcW w:w="1539" w:type="dxa"/>
            <w:vAlign w:val="center"/>
          </w:tcPr>
          <w:p w14:paraId="4F6CB159">
            <w:pPr>
              <w:spacing w:after="120" w:line="240" w:lineRule="auto"/>
              <w:jc w:val="center"/>
              <w:outlineLvl w:val="0"/>
              <w:rPr>
                <w:rFonts w:eastAsia="MS Gothic" w:cs="Calibri"/>
                <w:b/>
                <w:bCs/>
                <w:sz w:val="24"/>
                <w:szCs w:val="24"/>
              </w:rPr>
            </w:pPr>
          </w:p>
        </w:tc>
        <w:tc>
          <w:tcPr>
            <w:tcW w:w="1508" w:type="dxa"/>
            <w:vAlign w:val="center"/>
          </w:tcPr>
          <w:p w14:paraId="17DC7D66">
            <w:pPr>
              <w:spacing w:after="120" w:line="240" w:lineRule="auto"/>
              <w:jc w:val="center"/>
              <w:outlineLvl w:val="0"/>
              <w:rPr>
                <w:rFonts w:cs="Calibri"/>
                <w:b/>
                <w:bCs/>
                <w:color w:val="0070C0"/>
                <w:sz w:val="24"/>
                <w:szCs w:val="24"/>
              </w:rPr>
            </w:pPr>
            <w:r>
              <w:rPr>
                <w:rFonts w:ascii="Segoe UI Symbol" w:hAnsi="Segoe UI Symbol" w:eastAsia="MS Gothic" w:cs="Segoe UI Symbol"/>
                <w:b/>
                <w:bCs/>
                <w:sz w:val="24"/>
                <w:szCs w:val="24"/>
              </w:rPr>
              <w:t>✓</w:t>
            </w:r>
          </w:p>
        </w:tc>
      </w:tr>
      <w:tr w14:paraId="7B3ABBA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65038E17">
            <w:pPr>
              <w:pStyle w:val="12"/>
              <w:rPr>
                <w:color w:val="0070C0"/>
              </w:rPr>
            </w:pPr>
            <w:r>
              <w:rPr>
                <w:bCs/>
                <w:color w:val="0070C0"/>
              </w:rPr>
              <w:t>Skills</w:t>
            </w:r>
          </w:p>
        </w:tc>
        <w:tc>
          <w:tcPr>
            <w:tcW w:w="1539" w:type="dxa"/>
            <w:vAlign w:val="center"/>
          </w:tcPr>
          <w:p w14:paraId="546EFE11">
            <w:pPr>
              <w:spacing w:after="120" w:line="240" w:lineRule="auto"/>
              <w:jc w:val="center"/>
              <w:outlineLvl w:val="0"/>
              <w:rPr>
                <w:rFonts w:cs="Calibri"/>
                <w:bCs/>
                <w:color w:val="0070C0"/>
                <w:sz w:val="24"/>
                <w:szCs w:val="24"/>
              </w:rPr>
            </w:pPr>
            <w:r>
              <w:rPr>
                <w:rFonts w:cs="Calibri"/>
                <w:bCs/>
                <w:color w:val="0070C0"/>
                <w:sz w:val="24"/>
                <w:szCs w:val="24"/>
              </w:rPr>
              <w:t>Essential</w:t>
            </w:r>
          </w:p>
        </w:tc>
        <w:tc>
          <w:tcPr>
            <w:tcW w:w="1508" w:type="dxa"/>
            <w:vAlign w:val="center"/>
          </w:tcPr>
          <w:p w14:paraId="4115C531">
            <w:pPr>
              <w:spacing w:after="120" w:line="240" w:lineRule="auto"/>
              <w:jc w:val="center"/>
              <w:outlineLvl w:val="0"/>
              <w:rPr>
                <w:rFonts w:cs="Calibri"/>
                <w:bCs/>
                <w:color w:val="0070C0"/>
                <w:sz w:val="24"/>
                <w:szCs w:val="24"/>
              </w:rPr>
            </w:pPr>
            <w:r>
              <w:rPr>
                <w:rFonts w:cs="Calibri"/>
                <w:bCs/>
                <w:color w:val="0070C0"/>
                <w:sz w:val="24"/>
                <w:szCs w:val="24"/>
              </w:rPr>
              <w:t>Desirable</w:t>
            </w:r>
          </w:p>
        </w:tc>
      </w:tr>
      <w:tr w14:paraId="6BF55F29">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tcPr>
          <w:p w14:paraId="173E8B48">
            <w:pPr>
              <w:pStyle w:val="13"/>
              <w:rPr>
                <w:rFonts w:cs="Calibri"/>
                <w:sz w:val="24"/>
                <w:szCs w:val="24"/>
              </w:rPr>
            </w:pPr>
            <w:r>
              <w:rPr>
                <w:rFonts w:cs="Calibri"/>
                <w:sz w:val="24"/>
                <w:szCs w:val="24"/>
              </w:rPr>
              <w:t>Excellent communication skills, especially regarding work with community groups, schools, corporate partners, local authority officers and other stakeholders</w:t>
            </w:r>
          </w:p>
        </w:tc>
        <w:tc>
          <w:tcPr>
            <w:tcW w:w="1539" w:type="dxa"/>
            <w:vAlign w:val="center"/>
          </w:tcPr>
          <w:p w14:paraId="5571FBE2">
            <w:pPr>
              <w:spacing w:after="120" w:line="240" w:lineRule="auto"/>
              <w:jc w:val="center"/>
              <w:outlineLvl w:val="0"/>
              <w:rPr>
                <w:rFonts w:cs="Calibri"/>
                <w:bCs/>
                <w:sz w:val="24"/>
                <w:szCs w:val="24"/>
              </w:rPr>
            </w:pPr>
            <w:r>
              <w:rPr>
                <w:rFonts w:ascii="Segoe UI Symbol" w:hAnsi="Segoe UI Symbol" w:eastAsia="MS Gothic" w:cs="Segoe UI Symbol"/>
                <w:b/>
                <w:bCs/>
                <w:sz w:val="24"/>
                <w:szCs w:val="24"/>
              </w:rPr>
              <w:t>✓</w:t>
            </w:r>
          </w:p>
        </w:tc>
        <w:tc>
          <w:tcPr>
            <w:tcW w:w="1508" w:type="dxa"/>
            <w:vAlign w:val="center"/>
          </w:tcPr>
          <w:p w14:paraId="10D8E5D2">
            <w:pPr>
              <w:spacing w:after="120" w:line="240" w:lineRule="auto"/>
              <w:jc w:val="center"/>
              <w:outlineLvl w:val="0"/>
              <w:rPr>
                <w:rFonts w:cs="Calibri"/>
                <w:bCs/>
                <w:sz w:val="24"/>
                <w:szCs w:val="24"/>
              </w:rPr>
            </w:pPr>
          </w:p>
        </w:tc>
      </w:tr>
      <w:tr w14:paraId="071FA64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tcPr>
          <w:p w14:paraId="3F5098BD">
            <w:pPr>
              <w:pStyle w:val="13"/>
              <w:rPr>
                <w:rFonts w:cs="Calibri"/>
                <w:sz w:val="24"/>
                <w:szCs w:val="24"/>
              </w:rPr>
            </w:pPr>
            <w:r>
              <w:rPr>
                <w:rFonts w:cs="Calibri"/>
                <w:sz w:val="24"/>
                <w:szCs w:val="24"/>
              </w:rPr>
              <w:t>Good organisational and time management skills, able to prioritise workloads effectively and meet deadlines</w:t>
            </w:r>
          </w:p>
        </w:tc>
        <w:tc>
          <w:tcPr>
            <w:tcW w:w="1539" w:type="dxa"/>
            <w:vAlign w:val="center"/>
          </w:tcPr>
          <w:p w14:paraId="1200536B">
            <w:pPr>
              <w:spacing w:after="120" w:line="240" w:lineRule="auto"/>
              <w:jc w:val="center"/>
              <w:outlineLvl w:val="0"/>
              <w:rPr>
                <w:rFonts w:cs="Calibri"/>
                <w:b/>
                <w:bCs/>
                <w:color w:val="0070C0"/>
                <w:sz w:val="24"/>
                <w:szCs w:val="24"/>
              </w:rPr>
            </w:pPr>
            <w:r>
              <w:rPr>
                <w:rFonts w:ascii="Segoe UI Symbol" w:hAnsi="Segoe UI Symbol" w:eastAsia="MS Gothic" w:cs="Segoe UI Symbol"/>
                <w:b/>
                <w:bCs/>
                <w:sz w:val="24"/>
                <w:szCs w:val="24"/>
              </w:rPr>
              <w:t>✓</w:t>
            </w:r>
          </w:p>
        </w:tc>
        <w:tc>
          <w:tcPr>
            <w:tcW w:w="1508" w:type="dxa"/>
            <w:vAlign w:val="center"/>
          </w:tcPr>
          <w:p w14:paraId="318CF1A9">
            <w:pPr>
              <w:spacing w:after="120" w:line="240" w:lineRule="auto"/>
              <w:jc w:val="center"/>
              <w:outlineLvl w:val="0"/>
              <w:rPr>
                <w:rFonts w:cs="Calibri"/>
                <w:b/>
                <w:bCs/>
                <w:color w:val="0070C0"/>
                <w:sz w:val="24"/>
                <w:szCs w:val="24"/>
              </w:rPr>
            </w:pPr>
          </w:p>
        </w:tc>
      </w:tr>
      <w:tr w14:paraId="5789B58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643BC3DE">
            <w:pPr>
              <w:pStyle w:val="12"/>
            </w:pPr>
            <w:r>
              <w:t>IT literate and competent in the use of Microsoft Office</w:t>
            </w:r>
          </w:p>
        </w:tc>
        <w:tc>
          <w:tcPr>
            <w:tcW w:w="1539" w:type="dxa"/>
            <w:vAlign w:val="center"/>
          </w:tcPr>
          <w:p w14:paraId="63D60B11">
            <w:pPr>
              <w:spacing w:after="120" w:line="240" w:lineRule="auto"/>
              <w:jc w:val="center"/>
              <w:outlineLvl w:val="0"/>
              <w:rPr>
                <w:rFonts w:eastAsia="MS Gothic" w:cs="Calibri"/>
                <w:b/>
                <w:bCs/>
                <w:sz w:val="24"/>
                <w:szCs w:val="24"/>
              </w:rPr>
            </w:pPr>
            <w:r>
              <w:rPr>
                <w:rFonts w:ascii="Segoe UI Symbol" w:hAnsi="Segoe UI Symbol" w:eastAsia="MS Gothic" w:cs="Segoe UI Symbol"/>
                <w:b/>
                <w:bCs/>
                <w:sz w:val="24"/>
                <w:szCs w:val="24"/>
              </w:rPr>
              <w:t>✓</w:t>
            </w:r>
          </w:p>
        </w:tc>
        <w:tc>
          <w:tcPr>
            <w:tcW w:w="1508" w:type="dxa"/>
            <w:vAlign w:val="center"/>
          </w:tcPr>
          <w:p w14:paraId="257368D7">
            <w:pPr>
              <w:spacing w:after="120" w:line="240" w:lineRule="auto"/>
              <w:jc w:val="center"/>
              <w:outlineLvl w:val="0"/>
              <w:rPr>
                <w:rFonts w:cs="Calibri"/>
                <w:b/>
                <w:bCs/>
                <w:color w:val="0070C0"/>
                <w:sz w:val="24"/>
                <w:szCs w:val="24"/>
              </w:rPr>
            </w:pPr>
          </w:p>
        </w:tc>
      </w:tr>
      <w:tr w14:paraId="6076BDE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5905E970">
            <w:pPr>
              <w:pStyle w:val="12"/>
            </w:pPr>
            <w:r>
              <w:t>Ability to work as part of a team</w:t>
            </w:r>
          </w:p>
        </w:tc>
        <w:tc>
          <w:tcPr>
            <w:tcW w:w="1539" w:type="dxa"/>
            <w:vAlign w:val="center"/>
          </w:tcPr>
          <w:p w14:paraId="52D94F05">
            <w:pPr>
              <w:spacing w:after="120" w:line="240" w:lineRule="auto"/>
              <w:jc w:val="center"/>
              <w:outlineLvl w:val="0"/>
              <w:rPr>
                <w:rFonts w:cs="Calibri"/>
                <w:b/>
                <w:bCs/>
                <w:color w:val="0070C0"/>
                <w:sz w:val="24"/>
                <w:szCs w:val="24"/>
              </w:rPr>
            </w:pPr>
            <w:r>
              <w:rPr>
                <w:rFonts w:ascii="Segoe UI Symbol" w:hAnsi="Segoe UI Symbol" w:eastAsia="MS Gothic" w:cs="Segoe UI Symbol"/>
                <w:b/>
                <w:bCs/>
                <w:sz w:val="24"/>
                <w:szCs w:val="24"/>
              </w:rPr>
              <w:t>✓</w:t>
            </w:r>
          </w:p>
        </w:tc>
        <w:tc>
          <w:tcPr>
            <w:tcW w:w="1508" w:type="dxa"/>
            <w:vAlign w:val="center"/>
          </w:tcPr>
          <w:p w14:paraId="75B94AC7">
            <w:pPr>
              <w:spacing w:after="120" w:line="240" w:lineRule="auto"/>
              <w:jc w:val="center"/>
              <w:outlineLvl w:val="0"/>
              <w:rPr>
                <w:rFonts w:cs="Calibri"/>
                <w:b/>
                <w:bCs/>
                <w:color w:val="0070C0"/>
                <w:sz w:val="24"/>
                <w:szCs w:val="24"/>
              </w:rPr>
            </w:pPr>
          </w:p>
        </w:tc>
      </w:tr>
      <w:tr w14:paraId="56232BD1">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74BAF4EA">
            <w:pPr>
              <w:pStyle w:val="12"/>
            </w:pPr>
            <w:r>
              <w:t>Full driving license</w:t>
            </w:r>
          </w:p>
        </w:tc>
        <w:tc>
          <w:tcPr>
            <w:tcW w:w="1539" w:type="dxa"/>
            <w:vAlign w:val="center"/>
          </w:tcPr>
          <w:p w14:paraId="43529E22">
            <w:pPr>
              <w:spacing w:after="120" w:line="240" w:lineRule="auto"/>
              <w:jc w:val="center"/>
              <w:outlineLvl w:val="0"/>
              <w:rPr>
                <w:rFonts w:eastAsia="MS Gothic" w:cs="Calibri"/>
                <w:b/>
                <w:bCs/>
                <w:sz w:val="24"/>
                <w:szCs w:val="24"/>
              </w:rPr>
            </w:pPr>
            <w:r>
              <w:rPr>
                <w:rFonts w:ascii="Segoe UI Symbol" w:hAnsi="Segoe UI Symbol" w:eastAsia="MS Gothic" w:cs="Segoe UI Symbol"/>
                <w:b/>
                <w:bCs/>
                <w:sz w:val="24"/>
                <w:szCs w:val="24"/>
              </w:rPr>
              <w:t>✓</w:t>
            </w:r>
          </w:p>
        </w:tc>
        <w:tc>
          <w:tcPr>
            <w:tcW w:w="1508" w:type="dxa"/>
            <w:vAlign w:val="center"/>
          </w:tcPr>
          <w:p w14:paraId="53895232">
            <w:pPr>
              <w:spacing w:after="120" w:line="240" w:lineRule="auto"/>
              <w:jc w:val="center"/>
              <w:outlineLvl w:val="0"/>
              <w:rPr>
                <w:rFonts w:cs="Calibri"/>
                <w:b/>
                <w:bCs/>
                <w:color w:val="0070C0"/>
                <w:sz w:val="24"/>
                <w:szCs w:val="24"/>
              </w:rPr>
            </w:pPr>
          </w:p>
        </w:tc>
      </w:tr>
      <w:tr w14:paraId="21B3141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46616D97">
            <w:pPr>
              <w:pStyle w:val="12"/>
              <w:rPr>
                <w:color w:val="0070C0"/>
              </w:rPr>
            </w:pPr>
            <w:r>
              <w:rPr>
                <w:bCs/>
                <w:color w:val="0070C0"/>
              </w:rPr>
              <w:t>Qualities</w:t>
            </w:r>
          </w:p>
        </w:tc>
        <w:tc>
          <w:tcPr>
            <w:tcW w:w="1539" w:type="dxa"/>
            <w:vAlign w:val="center"/>
          </w:tcPr>
          <w:p w14:paraId="22B605AF">
            <w:pPr>
              <w:spacing w:after="120" w:line="240" w:lineRule="auto"/>
              <w:jc w:val="center"/>
              <w:outlineLvl w:val="0"/>
              <w:rPr>
                <w:rFonts w:cs="Calibri"/>
                <w:bCs/>
                <w:color w:val="0070C0"/>
                <w:sz w:val="24"/>
                <w:szCs w:val="24"/>
              </w:rPr>
            </w:pPr>
            <w:r>
              <w:rPr>
                <w:rFonts w:cs="Calibri"/>
                <w:bCs/>
                <w:color w:val="0070C0"/>
                <w:sz w:val="24"/>
                <w:szCs w:val="24"/>
              </w:rPr>
              <w:t>Essential</w:t>
            </w:r>
          </w:p>
        </w:tc>
        <w:tc>
          <w:tcPr>
            <w:tcW w:w="1508" w:type="dxa"/>
            <w:vAlign w:val="center"/>
          </w:tcPr>
          <w:p w14:paraId="3C04DD85">
            <w:pPr>
              <w:spacing w:after="120" w:line="240" w:lineRule="auto"/>
              <w:jc w:val="center"/>
              <w:outlineLvl w:val="0"/>
              <w:rPr>
                <w:rFonts w:cs="Calibri"/>
                <w:bCs/>
                <w:color w:val="0070C0"/>
                <w:sz w:val="24"/>
                <w:szCs w:val="24"/>
              </w:rPr>
            </w:pPr>
            <w:r>
              <w:rPr>
                <w:rFonts w:cs="Calibri"/>
                <w:bCs/>
                <w:color w:val="0070C0"/>
                <w:sz w:val="24"/>
                <w:szCs w:val="24"/>
              </w:rPr>
              <w:t>Desirable</w:t>
            </w:r>
          </w:p>
        </w:tc>
      </w:tr>
      <w:tr w14:paraId="2AED37B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6582" w:type="dxa"/>
            <w:vAlign w:val="center"/>
          </w:tcPr>
          <w:p w14:paraId="6E161828">
            <w:pPr>
              <w:pStyle w:val="13"/>
              <w:spacing w:line="276" w:lineRule="auto"/>
              <w:rPr>
                <w:rFonts w:cs="Calibri"/>
                <w:color w:val="000000"/>
                <w:sz w:val="24"/>
                <w:szCs w:val="24"/>
              </w:rPr>
            </w:pPr>
            <w:r>
              <w:rPr>
                <w:rFonts w:cs="Calibri"/>
                <w:sz w:val="24"/>
                <w:szCs w:val="24"/>
              </w:rPr>
              <w:t>A genuine commitment to the principles and aims of The Wildlife Trust for Birmingham and the Black Country</w:t>
            </w:r>
          </w:p>
        </w:tc>
        <w:tc>
          <w:tcPr>
            <w:tcW w:w="1539" w:type="dxa"/>
            <w:vAlign w:val="center"/>
          </w:tcPr>
          <w:p w14:paraId="60A9AF04">
            <w:pPr>
              <w:spacing w:after="120" w:line="240" w:lineRule="auto"/>
              <w:jc w:val="center"/>
              <w:outlineLvl w:val="0"/>
              <w:rPr>
                <w:rFonts w:eastAsia="MS Gothic" w:cs="Calibri"/>
                <w:b/>
                <w:bCs/>
                <w:sz w:val="24"/>
                <w:szCs w:val="24"/>
              </w:rPr>
            </w:pPr>
            <w:r>
              <w:rPr>
                <w:rFonts w:eastAsia="MS Gothic" w:cs="Calibri"/>
                <w:b/>
                <w:bCs/>
                <w:sz w:val="24"/>
                <w:szCs w:val="24"/>
              </w:rPr>
              <w:sym w:font="Wingdings" w:char="F0FC"/>
            </w:r>
          </w:p>
        </w:tc>
        <w:tc>
          <w:tcPr>
            <w:tcW w:w="1508" w:type="dxa"/>
            <w:vAlign w:val="center"/>
          </w:tcPr>
          <w:p w14:paraId="68AC094A">
            <w:pPr>
              <w:spacing w:after="120" w:line="240" w:lineRule="auto"/>
              <w:outlineLvl w:val="0"/>
              <w:rPr>
                <w:rFonts w:eastAsia="MS Gothic" w:cs="Calibri"/>
                <w:b/>
                <w:bCs/>
                <w:sz w:val="24"/>
                <w:szCs w:val="24"/>
              </w:rPr>
            </w:pPr>
          </w:p>
        </w:tc>
      </w:tr>
    </w:tbl>
    <w:p w14:paraId="69806863">
      <w:pPr>
        <w:widowControl w:val="0"/>
        <w:spacing w:after="0" w:line="240" w:lineRule="auto"/>
        <w:jc w:val="both"/>
        <w:rPr>
          <w:rFonts w:cs="Calibri"/>
          <w:b/>
          <w:snapToGrid w:val="0"/>
          <w:sz w:val="24"/>
          <w:szCs w:val="24"/>
          <w:lang w:val="en-US" w:eastAsia="en-US"/>
        </w:rPr>
      </w:pPr>
    </w:p>
    <w:p w14:paraId="7E317B2C">
      <w:pPr>
        <w:widowControl w:val="0"/>
        <w:spacing w:after="0" w:line="240" w:lineRule="auto"/>
        <w:rPr>
          <w:rFonts w:cs="Calibri"/>
          <w:snapToGrid w:val="0"/>
          <w:sz w:val="24"/>
          <w:szCs w:val="24"/>
          <w:lang w:val="en-US" w:eastAsia="en-US"/>
        </w:rPr>
      </w:pPr>
    </w:p>
    <w:p w14:paraId="477353AE">
      <w:pPr>
        <w:spacing w:after="0" w:line="240" w:lineRule="auto"/>
        <w:rPr>
          <w:rFonts w:cs="Calibri"/>
          <w:b/>
          <w:snapToGrid w:val="0"/>
          <w:color w:val="0070C0"/>
          <w:sz w:val="24"/>
          <w:szCs w:val="24"/>
          <w:lang w:eastAsia="en-US"/>
        </w:rPr>
      </w:pPr>
      <w:r>
        <w:rPr>
          <w:rFonts w:cs="Calibri"/>
          <w:b/>
          <w:snapToGrid w:val="0"/>
          <w:color w:val="0070C0"/>
          <w:sz w:val="24"/>
          <w:szCs w:val="24"/>
          <w:lang w:eastAsia="en-US"/>
        </w:rPr>
        <w:br w:type="page"/>
      </w:r>
    </w:p>
    <w:p w14:paraId="4B4F45B0">
      <w:pPr>
        <w:keepNext/>
        <w:widowControl w:val="0"/>
        <w:spacing w:after="0" w:line="240" w:lineRule="auto"/>
        <w:jc w:val="both"/>
        <w:outlineLvl w:val="2"/>
        <w:rPr>
          <w:rFonts w:cs="Calibri"/>
          <w:b/>
          <w:snapToGrid w:val="0"/>
          <w:color w:val="0070C0"/>
          <w:sz w:val="24"/>
          <w:szCs w:val="24"/>
          <w:lang w:eastAsia="en-US"/>
        </w:rPr>
      </w:pPr>
      <w:r>
        <w:rPr>
          <w:rFonts w:cs="Calibri"/>
          <w:b/>
          <w:snapToGrid w:val="0"/>
          <w:color w:val="0070C0"/>
          <w:sz w:val="24"/>
          <w:szCs w:val="24"/>
          <w:lang w:eastAsia="en-US"/>
        </w:rPr>
        <w:t>General Terms and Conditions</w:t>
      </w:r>
    </w:p>
    <w:p w14:paraId="3B3150C5">
      <w:pPr>
        <w:widowControl w:val="0"/>
        <w:spacing w:after="0" w:line="240" w:lineRule="auto"/>
        <w:jc w:val="both"/>
        <w:rPr>
          <w:rFonts w:cs="Calibri"/>
          <w:snapToGrid w:val="0"/>
          <w:sz w:val="24"/>
          <w:szCs w:val="24"/>
          <w:lang w:val="en-US" w:eastAsia="en-US"/>
        </w:rPr>
      </w:pPr>
    </w:p>
    <w:p w14:paraId="6DF47B9E">
      <w:pPr>
        <w:widowControl w:val="0"/>
        <w:spacing w:after="0" w:line="240" w:lineRule="auto"/>
        <w:jc w:val="both"/>
        <w:rPr>
          <w:rFonts w:cs="Calibri"/>
          <w:b/>
          <w:snapToGrid w:val="0"/>
          <w:sz w:val="24"/>
          <w:szCs w:val="24"/>
          <w:lang w:val="en-US" w:eastAsia="en-US"/>
        </w:rPr>
      </w:pPr>
      <w:r>
        <w:rPr>
          <w:rFonts w:cs="Calibri"/>
          <w:b/>
          <w:snapToGrid w:val="0"/>
          <w:sz w:val="24"/>
          <w:szCs w:val="24"/>
          <w:lang w:val="en-US" w:eastAsia="en-US"/>
        </w:rPr>
        <w:t>Pay-scale</w:t>
      </w:r>
      <w:r>
        <w:rPr>
          <w:rFonts w:cs="Calibri"/>
          <w:b/>
          <w:snapToGrid w:val="0"/>
          <w:sz w:val="24"/>
          <w:szCs w:val="24"/>
          <w:lang w:val="en-US" w:eastAsia="en-US"/>
        </w:rPr>
        <w:tab/>
      </w:r>
      <w:r>
        <w:rPr>
          <w:rFonts w:cs="Calibri"/>
          <w:b/>
          <w:snapToGrid w:val="0"/>
          <w:sz w:val="24"/>
          <w:szCs w:val="24"/>
          <w:lang w:val="en-US" w:eastAsia="en-US"/>
        </w:rPr>
        <w:tab/>
      </w:r>
      <w:r>
        <w:rPr>
          <w:rFonts w:cs="Calibri"/>
          <w:snapToGrid w:val="0"/>
          <w:sz w:val="24"/>
          <w:szCs w:val="24"/>
          <w:lang w:val="en-US" w:eastAsia="en-US"/>
        </w:rPr>
        <w:t xml:space="preserve">Officer </w:t>
      </w:r>
    </w:p>
    <w:p w14:paraId="5737455F">
      <w:pPr>
        <w:widowControl w:val="0"/>
        <w:spacing w:after="0" w:line="240" w:lineRule="auto"/>
        <w:jc w:val="both"/>
        <w:rPr>
          <w:rFonts w:cs="Calibri"/>
          <w:b/>
          <w:snapToGrid w:val="0"/>
          <w:sz w:val="24"/>
          <w:szCs w:val="24"/>
          <w:lang w:val="en-US" w:eastAsia="en-US"/>
        </w:rPr>
      </w:pPr>
    </w:p>
    <w:p w14:paraId="7E6D39C8">
      <w:pPr>
        <w:widowControl w:val="0"/>
        <w:spacing w:after="0" w:line="240" w:lineRule="auto"/>
        <w:ind w:left="2160" w:hanging="2160"/>
        <w:jc w:val="both"/>
        <w:rPr>
          <w:rFonts w:cs="Calibri"/>
          <w:snapToGrid w:val="0"/>
          <w:sz w:val="24"/>
          <w:szCs w:val="24"/>
          <w:lang w:val="en-US" w:eastAsia="en-US"/>
        </w:rPr>
      </w:pPr>
      <w:r>
        <w:rPr>
          <w:rFonts w:cs="Calibri"/>
          <w:b/>
          <w:snapToGrid w:val="0"/>
          <w:sz w:val="24"/>
          <w:szCs w:val="24"/>
          <w:lang w:val="en-US" w:eastAsia="en-US"/>
        </w:rPr>
        <w:t>Pension</w:t>
      </w:r>
      <w:r>
        <w:rPr>
          <w:rFonts w:cs="Calibri"/>
          <w:snapToGrid w:val="0"/>
          <w:sz w:val="24"/>
          <w:szCs w:val="24"/>
          <w:lang w:val="en-US" w:eastAsia="en-US"/>
        </w:rPr>
        <w:tab/>
      </w:r>
      <w:r>
        <w:rPr>
          <w:rFonts w:cs="Calibri"/>
          <w:snapToGrid w:val="0"/>
          <w:sz w:val="24"/>
          <w:szCs w:val="24"/>
          <w:lang w:val="en-US" w:eastAsia="en-US"/>
        </w:rPr>
        <w:t>The Trust contributes 7% to an employee pension scheme. Details will be provided.</w:t>
      </w:r>
    </w:p>
    <w:p w14:paraId="3F4E998E">
      <w:pPr>
        <w:widowControl w:val="0"/>
        <w:spacing w:after="0" w:line="240" w:lineRule="auto"/>
        <w:ind w:left="2160" w:hanging="2160"/>
        <w:jc w:val="both"/>
        <w:rPr>
          <w:rFonts w:cs="Calibri"/>
          <w:snapToGrid w:val="0"/>
          <w:sz w:val="24"/>
          <w:szCs w:val="24"/>
          <w:lang w:val="en-US" w:eastAsia="en-US"/>
        </w:rPr>
      </w:pPr>
    </w:p>
    <w:p w14:paraId="4565A5A4">
      <w:pPr>
        <w:widowControl w:val="0"/>
        <w:spacing w:after="0" w:line="240" w:lineRule="auto"/>
        <w:ind w:left="2160" w:hanging="2160"/>
        <w:jc w:val="both"/>
        <w:rPr>
          <w:rFonts w:cs="Calibri"/>
          <w:snapToGrid w:val="0"/>
          <w:sz w:val="24"/>
          <w:szCs w:val="24"/>
          <w:lang w:val="en-US" w:eastAsia="en-US"/>
        </w:rPr>
      </w:pPr>
      <w:r>
        <w:rPr>
          <w:rFonts w:cs="Calibri"/>
          <w:b/>
          <w:snapToGrid w:val="0"/>
          <w:sz w:val="24"/>
          <w:szCs w:val="24"/>
          <w:lang w:val="en-US" w:eastAsia="en-US"/>
        </w:rPr>
        <w:t>Hours of Work</w:t>
      </w:r>
      <w:r>
        <w:rPr>
          <w:rFonts w:cs="Calibri"/>
          <w:snapToGrid w:val="0"/>
          <w:sz w:val="24"/>
          <w:szCs w:val="24"/>
          <w:lang w:val="en-US" w:eastAsia="en-US"/>
        </w:rPr>
        <w:tab/>
      </w:r>
      <w:bookmarkStart w:id="0" w:name="_Hlk160199013"/>
      <w:r>
        <w:rPr>
          <w:rFonts w:cs="Calibri"/>
          <w:snapToGrid w:val="0"/>
          <w:sz w:val="24"/>
          <w:szCs w:val="24"/>
          <w:lang w:val="en-US" w:eastAsia="en-US"/>
        </w:rPr>
        <w:t>Full time: 37.5 hours per week.</w:t>
      </w:r>
    </w:p>
    <w:p w14:paraId="6790623D">
      <w:pPr>
        <w:widowControl w:val="0"/>
        <w:spacing w:after="0" w:line="240" w:lineRule="auto"/>
        <w:ind w:left="2160"/>
        <w:jc w:val="both"/>
        <w:rPr>
          <w:rFonts w:cs="Calibri"/>
          <w:snapToGrid w:val="0"/>
          <w:sz w:val="24"/>
          <w:szCs w:val="24"/>
          <w:lang w:val="en-US" w:eastAsia="en-US"/>
        </w:rPr>
      </w:pPr>
      <w:r>
        <w:rPr>
          <w:rFonts w:cs="Calibri"/>
          <w:snapToGrid w:val="0"/>
          <w:sz w:val="24"/>
          <w:szCs w:val="24"/>
          <w:lang w:val="en-US" w:eastAsia="en-US"/>
        </w:rPr>
        <w:t>The nature of this post means that occasional out-of-hours and weekend working will be required. This will include supporting the organisation through acting as an emergency ‘out of hours’ contact on a cover Rota. In case of working outside working hours, overtime is not paid but time off in lieu will be granted.</w:t>
      </w:r>
    </w:p>
    <w:bookmarkEnd w:id="0"/>
    <w:p w14:paraId="291599F3">
      <w:pPr>
        <w:widowControl w:val="0"/>
        <w:spacing w:after="0" w:line="240" w:lineRule="auto"/>
        <w:ind w:left="1440" w:firstLine="720"/>
        <w:jc w:val="both"/>
        <w:rPr>
          <w:rFonts w:cs="Calibri"/>
          <w:snapToGrid w:val="0"/>
          <w:sz w:val="24"/>
          <w:szCs w:val="24"/>
          <w:lang w:val="en-US" w:eastAsia="en-US"/>
        </w:rPr>
      </w:pPr>
    </w:p>
    <w:p w14:paraId="3CBFC64F">
      <w:pPr>
        <w:widowControl w:val="0"/>
        <w:spacing w:after="0" w:line="240" w:lineRule="auto"/>
        <w:ind w:left="2160" w:hanging="2160"/>
        <w:jc w:val="both"/>
        <w:rPr>
          <w:rFonts w:cs="Calibri"/>
          <w:snapToGrid w:val="0"/>
          <w:sz w:val="24"/>
          <w:szCs w:val="24"/>
          <w:lang w:val="en-US" w:eastAsia="en-US"/>
        </w:rPr>
      </w:pPr>
      <w:r>
        <w:rPr>
          <w:rFonts w:cs="Calibri"/>
          <w:b/>
          <w:snapToGrid w:val="0"/>
          <w:sz w:val="24"/>
          <w:szCs w:val="24"/>
          <w:lang w:val="en-US" w:eastAsia="en-US"/>
        </w:rPr>
        <w:t>Duration of post</w:t>
      </w:r>
      <w:r>
        <w:rPr>
          <w:rFonts w:cs="Calibri"/>
          <w:snapToGrid w:val="0"/>
          <w:sz w:val="24"/>
          <w:szCs w:val="24"/>
          <w:lang w:val="en-US" w:eastAsia="en-US"/>
        </w:rPr>
        <w:tab/>
      </w:r>
      <w:r>
        <w:rPr>
          <w:rFonts w:cs="Calibri"/>
          <w:snapToGrid w:val="0"/>
          <w:sz w:val="24"/>
          <w:szCs w:val="24"/>
          <w:lang w:val="en-US" w:eastAsia="en-US"/>
        </w:rPr>
        <w:t>Permanent Contract.</w:t>
      </w:r>
      <w:r>
        <w:rPr>
          <w:rFonts w:cs="Calibri"/>
          <w:snapToGrid w:val="0"/>
          <w:color w:val="FF0000"/>
          <w:sz w:val="24"/>
          <w:szCs w:val="24"/>
          <w:lang w:val="en-US" w:eastAsia="en-US"/>
        </w:rPr>
        <w:t xml:space="preserve"> </w:t>
      </w:r>
      <w:r>
        <w:rPr>
          <w:rFonts w:cs="Calibri"/>
          <w:snapToGrid w:val="0"/>
          <w:sz w:val="24"/>
          <w:szCs w:val="24"/>
          <w:lang w:val="en-US" w:eastAsia="en-US"/>
        </w:rPr>
        <w:t>All new employees undertake a probationary period of 6 months; in which they are expected to demonstrate their suitability for the post.</w:t>
      </w:r>
    </w:p>
    <w:p w14:paraId="2427A608">
      <w:pPr>
        <w:widowControl w:val="0"/>
        <w:spacing w:after="0" w:line="240" w:lineRule="auto"/>
        <w:jc w:val="both"/>
        <w:rPr>
          <w:rFonts w:cs="Calibri"/>
          <w:b/>
          <w:snapToGrid w:val="0"/>
          <w:sz w:val="24"/>
          <w:szCs w:val="24"/>
          <w:lang w:val="en-US" w:eastAsia="en-US"/>
        </w:rPr>
      </w:pPr>
    </w:p>
    <w:p w14:paraId="201958E0">
      <w:pPr>
        <w:widowControl w:val="0"/>
        <w:spacing w:after="0" w:line="240" w:lineRule="auto"/>
        <w:ind w:left="2160" w:hanging="2160"/>
        <w:jc w:val="both"/>
        <w:rPr>
          <w:rFonts w:cs="Calibri"/>
          <w:snapToGrid w:val="0"/>
          <w:sz w:val="24"/>
          <w:szCs w:val="24"/>
          <w:lang w:val="en-US" w:eastAsia="en-US"/>
        </w:rPr>
      </w:pPr>
      <w:r>
        <w:rPr>
          <w:rFonts w:cs="Calibri"/>
          <w:b/>
          <w:snapToGrid w:val="0"/>
          <w:sz w:val="24"/>
          <w:szCs w:val="24"/>
          <w:lang w:val="en-US" w:eastAsia="en-US"/>
        </w:rPr>
        <w:t>Holidays</w:t>
      </w:r>
      <w:r>
        <w:rPr>
          <w:rFonts w:cs="Calibri"/>
          <w:snapToGrid w:val="0"/>
          <w:sz w:val="24"/>
          <w:szCs w:val="24"/>
          <w:lang w:val="en-US" w:eastAsia="en-US"/>
        </w:rPr>
        <w:tab/>
      </w:r>
      <w:r>
        <w:rPr>
          <w:rFonts w:cs="Calibri"/>
          <w:snapToGrid w:val="0"/>
          <w:sz w:val="24"/>
          <w:szCs w:val="24"/>
          <w:lang w:eastAsia="en-US"/>
        </w:rPr>
        <w:t xml:space="preserve">28 days annual leave (including 3 to be taken between Christmas and New Year) plus statutory public holidays.  </w:t>
      </w:r>
    </w:p>
    <w:p w14:paraId="0773464C">
      <w:pPr>
        <w:widowControl w:val="0"/>
        <w:spacing w:after="0" w:line="240" w:lineRule="auto"/>
        <w:jc w:val="both"/>
        <w:rPr>
          <w:rFonts w:cs="Calibri"/>
          <w:snapToGrid w:val="0"/>
          <w:sz w:val="24"/>
          <w:szCs w:val="24"/>
          <w:lang w:val="en-US" w:eastAsia="en-US"/>
        </w:rPr>
      </w:pPr>
    </w:p>
    <w:p w14:paraId="6C5C7892">
      <w:pPr>
        <w:widowControl w:val="0"/>
        <w:spacing w:after="0" w:line="240" w:lineRule="auto"/>
        <w:ind w:left="2160" w:hanging="2160"/>
        <w:jc w:val="both"/>
        <w:rPr>
          <w:rFonts w:cs="Calibri"/>
          <w:snapToGrid w:val="0"/>
          <w:sz w:val="24"/>
          <w:szCs w:val="24"/>
          <w:lang w:val="en-US" w:eastAsia="en-US"/>
        </w:rPr>
      </w:pPr>
      <w:r>
        <w:rPr>
          <w:rFonts w:cs="Calibri"/>
          <w:b/>
          <w:snapToGrid w:val="0"/>
          <w:sz w:val="24"/>
          <w:szCs w:val="24"/>
          <w:lang w:val="en-US" w:eastAsia="en-US"/>
        </w:rPr>
        <w:t>Place of work</w:t>
      </w:r>
      <w:r>
        <w:rPr>
          <w:rFonts w:cs="Calibri"/>
          <w:snapToGrid w:val="0"/>
          <w:sz w:val="24"/>
          <w:szCs w:val="24"/>
          <w:lang w:val="en-US" w:eastAsia="en-US"/>
        </w:rPr>
        <w:tab/>
      </w:r>
      <w:r>
        <w:rPr>
          <w:rFonts w:cs="Calibri"/>
          <w:snapToGrid w:val="0"/>
          <w:sz w:val="24"/>
          <w:szCs w:val="24"/>
          <w:lang w:val="en-US" w:eastAsia="en-US"/>
        </w:rPr>
        <w:t>This post is based at EcoPark, 258a Hobmoor Road, Small Heath, B10 9HH, with flexibility to work from home as required. This role will require regular travel regionally – a company pool vehicle will be provided for travel in between sites.</w:t>
      </w:r>
    </w:p>
    <w:p w14:paraId="328A6443">
      <w:pPr>
        <w:widowControl w:val="0"/>
        <w:spacing w:after="0" w:line="240" w:lineRule="auto"/>
        <w:jc w:val="both"/>
        <w:rPr>
          <w:rFonts w:cs="Calibri"/>
          <w:snapToGrid w:val="0"/>
          <w:sz w:val="24"/>
          <w:szCs w:val="24"/>
          <w:lang w:val="en-US" w:eastAsia="en-US"/>
        </w:rPr>
      </w:pPr>
    </w:p>
    <w:p w14:paraId="0235357C">
      <w:pPr>
        <w:widowControl w:val="0"/>
        <w:spacing w:after="0" w:line="240" w:lineRule="auto"/>
        <w:ind w:left="2160" w:hanging="2160"/>
        <w:jc w:val="both"/>
        <w:rPr>
          <w:rFonts w:cs="Calibri"/>
          <w:snapToGrid w:val="0"/>
          <w:sz w:val="24"/>
          <w:szCs w:val="24"/>
          <w:lang w:val="en-US" w:eastAsia="en-US"/>
        </w:rPr>
      </w:pPr>
      <w:r>
        <w:rPr>
          <w:rFonts w:cs="Calibri"/>
          <w:b/>
          <w:snapToGrid w:val="0"/>
          <w:sz w:val="24"/>
          <w:szCs w:val="24"/>
          <w:lang w:val="en-US" w:eastAsia="en-US"/>
        </w:rPr>
        <w:t>Equal Opportunities</w:t>
      </w:r>
      <w:r>
        <w:rPr>
          <w:rFonts w:cs="Calibri"/>
          <w:b/>
          <w:snapToGrid w:val="0"/>
          <w:sz w:val="24"/>
          <w:szCs w:val="24"/>
          <w:lang w:val="en-US" w:eastAsia="en-US"/>
        </w:rPr>
        <w:tab/>
      </w:r>
      <w:r>
        <w:rPr>
          <w:rFonts w:cs="Calibri"/>
          <w:snapToGrid w:val="0"/>
          <w:sz w:val="24"/>
          <w:szCs w:val="24"/>
          <w:lang w:val="en-US" w:eastAsia="en-US"/>
        </w:rPr>
        <w:t>The Wildlife Trust is an equal opportunities employer and is positive about individuals who have a disability.</w:t>
      </w:r>
    </w:p>
    <w:sectPr>
      <w:headerReference r:id="rId5" w:type="default"/>
      <w:pgSz w:w="12240" w:h="15840"/>
      <w:pgMar w:top="988" w:right="1325" w:bottom="1276" w:left="1276" w:header="720" w:footer="720" w:gutter="0"/>
      <w:cols w:equalWidth="0" w:num="1">
        <w:col w:w="9639"/>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C7080">
    <w:pPr>
      <w:pStyle w:val="9"/>
    </w:pPr>
    <w:r>
      <w:rPr>
        <w:rFonts w:cs="Calibri"/>
        <w:b/>
        <w:bCs/>
        <w:sz w:val="24"/>
        <w:szCs w:val="24"/>
      </w:rPr>
      <w:drawing>
        <wp:anchor distT="0" distB="0" distL="114300" distR="114300" simplePos="0" relativeHeight="251659264" behindDoc="0" locked="0" layoutInCell="1" allowOverlap="1">
          <wp:simplePos x="0" y="0"/>
          <wp:positionH relativeFrom="margin">
            <wp:posOffset>4507865</wp:posOffset>
          </wp:positionH>
          <wp:positionV relativeFrom="paragraph">
            <wp:posOffset>-329565</wp:posOffset>
          </wp:positionV>
          <wp:extent cx="2316480" cy="762000"/>
          <wp:effectExtent l="0" t="0" r="7620" b="0"/>
          <wp:wrapNone/>
          <wp:docPr id="2" name="Picture 2" descr="BBCWT_LOGO_PRIMARY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BBCWT_LOGO_PRIMARY_COLOU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2316480" cy="7620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A00DE"/>
    <w:multiLevelType w:val="singleLevel"/>
    <w:tmpl w:val="13BA00DE"/>
    <w:lvl w:ilvl="0" w:tentative="0">
      <w:start w:val="1"/>
      <w:numFmt w:val="bullet"/>
      <w:pStyle w:val="11"/>
      <w:lvlText w:val=""/>
      <w:lvlJc w:val="left"/>
      <w:pPr>
        <w:tabs>
          <w:tab w:val="left" w:pos="643"/>
        </w:tabs>
        <w:ind w:left="566" w:hanging="283"/>
      </w:pPr>
      <w:rPr>
        <w:rFonts w:hint="default" w:ascii="Symbol" w:hAnsi="Symbol"/>
        <w:sz w:val="18"/>
      </w:rPr>
    </w:lvl>
  </w:abstractNum>
  <w:abstractNum w:abstractNumId="1">
    <w:nsid w:val="1FA07A20"/>
    <w:multiLevelType w:val="multilevel"/>
    <w:tmpl w:val="1FA07A2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2">
    <w:nsid w:val="6DF77D54"/>
    <w:multiLevelType w:val="multilevel"/>
    <w:tmpl w:val="6DF77D5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0C5"/>
    <w:rsid w:val="000003BA"/>
    <w:rsid w:val="00000B5B"/>
    <w:rsid w:val="00003061"/>
    <w:rsid w:val="00004844"/>
    <w:rsid w:val="0002170F"/>
    <w:rsid w:val="00022E99"/>
    <w:rsid w:val="00033968"/>
    <w:rsid w:val="0003555D"/>
    <w:rsid w:val="0004578D"/>
    <w:rsid w:val="00045DDA"/>
    <w:rsid w:val="000534FB"/>
    <w:rsid w:val="00054234"/>
    <w:rsid w:val="00055647"/>
    <w:rsid w:val="00075B48"/>
    <w:rsid w:val="00082A20"/>
    <w:rsid w:val="000B5C1F"/>
    <w:rsid w:val="000B6775"/>
    <w:rsid w:val="000C74F8"/>
    <w:rsid w:val="000D3D37"/>
    <w:rsid w:val="000F6134"/>
    <w:rsid w:val="001011C4"/>
    <w:rsid w:val="00126446"/>
    <w:rsid w:val="00133613"/>
    <w:rsid w:val="001479FE"/>
    <w:rsid w:val="00152C0B"/>
    <w:rsid w:val="00154DA7"/>
    <w:rsid w:val="00167F05"/>
    <w:rsid w:val="00176E7C"/>
    <w:rsid w:val="0018291A"/>
    <w:rsid w:val="00191580"/>
    <w:rsid w:val="001A4590"/>
    <w:rsid w:val="001C60C5"/>
    <w:rsid w:val="001C6B0D"/>
    <w:rsid w:val="001D4D57"/>
    <w:rsid w:val="001E6799"/>
    <w:rsid w:val="001E70CF"/>
    <w:rsid w:val="001F1B1C"/>
    <w:rsid w:val="001F281D"/>
    <w:rsid w:val="00211B13"/>
    <w:rsid w:val="0022554D"/>
    <w:rsid w:val="00256C80"/>
    <w:rsid w:val="002574B0"/>
    <w:rsid w:val="002736A7"/>
    <w:rsid w:val="00276D7F"/>
    <w:rsid w:val="002833B9"/>
    <w:rsid w:val="002A133B"/>
    <w:rsid w:val="002A6A8D"/>
    <w:rsid w:val="002A6EE0"/>
    <w:rsid w:val="002A724B"/>
    <w:rsid w:val="002B171E"/>
    <w:rsid w:val="002D3379"/>
    <w:rsid w:val="002E5A3E"/>
    <w:rsid w:val="002F1DEC"/>
    <w:rsid w:val="002F53E4"/>
    <w:rsid w:val="002F66C8"/>
    <w:rsid w:val="00307CA9"/>
    <w:rsid w:val="003128EB"/>
    <w:rsid w:val="00343199"/>
    <w:rsid w:val="00352BD1"/>
    <w:rsid w:val="00354757"/>
    <w:rsid w:val="00357465"/>
    <w:rsid w:val="00362D55"/>
    <w:rsid w:val="003811AB"/>
    <w:rsid w:val="00385291"/>
    <w:rsid w:val="00385418"/>
    <w:rsid w:val="00394F8E"/>
    <w:rsid w:val="0039770F"/>
    <w:rsid w:val="003A1FF9"/>
    <w:rsid w:val="003B2299"/>
    <w:rsid w:val="003B399F"/>
    <w:rsid w:val="003E1DFF"/>
    <w:rsid w:val="003E2E5A"/>
    <w:rsid w:val="003E5A0A"/>
    <w:rsid w:val="003F0FC0"/>
    <w:rsid w:val="003F329A"/>
    <w:rsid w:val="003F5C66"/>
    <w:rsid w:val="004059C8"/>
    <w:rsid w:val="004068C3"/>
    <w:rsid w:val="0041469A"/>
    <w:rsid w:val="00416A59"/>
    <w:rsid w:val="00445160"/>
    <w:rsid w:val="00455302"/>
    <w:rsid w:val="00455FDD"/>
    <w:rsid w:val="0046169E"/>
    <w:rsid w:val="004662DF"/>
    <w:rsid w:val="00471302"/>
    <w:rsid w:val="00482154"/>
    <w:rsid w:val="00484ECF"/>
    <w:rsid w:val="004C6313"/>
    <w:rsid w:val="004E13E1"/>
    <w:rsid w:val="004F3C72"/>
    <w:rsid w:val="004F3E25"/>
    <w:rsid w:val="00504CD6"/>
    <w:rsid w:val="005108DE"/>
    <w:rsid w:val="00524CED"/>
    <w:rsid w:val="0053199D"/>
    <w:rsid w:val="0053505D"/>
    <w:rsid w:val="00535E7D"/>
    <w:rsid w:val="00542422"/>
    <w:rsid w:val="00543DA3"/>
    <w:rsid w:val="00556AB4"/>
    <w:rsid w:val="00560A53"/>
    <w:rsid w:val="005804B2"/>
    <w:rsid w:val="005823F4"/>
    <w:rsid w:val="00585BD4"/>
    <w:rsid w:val="00594F35"/>
    <w:rsid w:val="005A2F4C"/>
    <w:rsid w:val="005A32A9"/>
    <w:rsid w:val="005B1E6B"/>
    <w:rsid w:val="005B470F"/>
    <w:rsid w:val="005C3EB2"/>
    <w:rsid w:val="005C70C0"/>
    <w:rsid w:val="005D51E8"/>
    <w:rsid w:val="005E5712"/>
    <w:rsid w:val="005E6B23"/>
    <w:rsid w:val="005F64C6"/>
    <w:rsid w:val="00601374"/>
    <w:rsid w:val="006067B6"/>
    <w:rsid w:val="00610D84"/>
    <w:rsid w:val="00612B07"/>
    <w:rsid w:val="00613D98"/>
    <w:rsid w:val="00621B24"/>
    <w:rsid w:val="006431C4"/>
    <w:rsid w:val="00646265"/>
    <w:rsid w:val="006515BF"/>
    <w:rsid w:val="0066101F"/>
    <w:rsid w:val="00662054"/>
    <w:rsid w:val="00673076"/>
    <w:rsid w:val="00686EEF"/>
    <w:rsid w:val="00690929"/>
    <w:rsid w:val="0069132E"/>
    <w:rsid w:val="006927C8"/>
    <w:rsid w:val="0069328A"/>
    <w:rsid w:val="006A4790"/>
    <w:rsid w:val="006A682C"/>
    <w:rsid w:val="006B1356"/>
    <w:rsid w:val="006C44BE"/>
    <w:rsid w:val="006D1466"/>
    <w:rsid w:val="006D24EF"/>
    <w:rsid w:val="006D3B19"/>
    <w:rsid w:val="006E1F8B"/>
    <w:rsid w:val="006F4649"/>
    <w:rsid w:val="00706C44"/>
    <w:rsid w:val="00726FAA"/>
    <w:rsid w:val="00775315"/>
    <w:rsid w:val="00784E20"/>
    <w:rsid w:val="007876E1"/>
    <w:rsid w:val="00791EEA"/>
    <w:rsid w:val="007D29C3"/>
    <w:rsid w:val="007D65C5"/>
    <w:rsid w:val="007E1556"/>
    <w:rsid w:val="007E7F6F"/>
    <w:rsid w:val="007F020A"/>
    <w:rsid w:val="007F082F"/>
    <w:rsid w:val="007F329D"/>
    <w:rsid w:val="008005B4"/>
    <w:rsid w:val="00803754"/>
    <w:rsid w:val="00805749"/>
    <w:rsid w:val="00841460"/>
    <w:rsid w:val="008420AB"/>
    <w:rsid w:val="00852125"/>
    <w:rsid w:val="008578BA"/>
    <w:rsid w:val="00881867"/>
    <w:rsid w:val="0088481B"/>
    <w:rsid w:val="008926FC"/>
    <w:rsid w:val="00894D3B"/>
    <w:rsid w:val="008975D0"/>
    <w:rsid w:val="008A5992"/>
    <w:rsid w:val="008C0ABD"/>
    <w:rsid w:val="008C5D64"/>
    <w:rsid w:val="008E1FC2"/>
    <w:rsid w:val="008E4467"/>
    <w:rsid w:val="00904880"/>
    <w:rsid w:val="00933315"/>
    <w:rsid w:val="00947787"/>
    <w:rsid w:val="00950729"/>
    <w:rsid w:val="0098228D"/>
    <w:rsid w:val="00996AA4"/>
    <w:rsid w:val="009A76C0"/>
    <w:rsid w:val="009C0BED"/>
    <w:rsid w:val="009C5FA9"/>
    <w:rsid w:val="009C6FCB"/>
    <w:rsid w:val="009D5F73"/>
    <w:rsid w:val="009E37CB"/>
    <w:rsid w:val="00A05DDE"/>
    <w:rsid w:val="00A12E8D"/>
    <w:rsid w:val="00A16DA9"/>
    <w:rsid w:val="00A17CE0"/>
    <w:rsid w:val="00A33A54"/>
    <w:rsid w:val="00A55E76"/>
    <w:rsid w:val="00A56048"/>
    <w:rsid w:val="00A838FA"/>
    <w:rsid w:val="00AC40D9"/>
    <w:rsid w:val="00AE7592"/>
    <w:rsid w:val="00AF2252"/>
    <w:rsid w:val="00AF250B"/>
    <w:rsid w:val="00AF2C41"/>
    <w:rsid w:val="00B020DC"/>
    <w:rsid w:val="00B0261D"/>
    <w:rsid w:val="00B176EE"/>
    <w:rsid w:val="00B1787D"/>
    <w:rsid w:val="00B26BA5"/>
    <w:rsid w:val="00B27372"/>
    <w:rsid w:val="00B279BB"/>
    <w:rsid w:val="00B35AE6"/>
    <w:rsid w:val="00B521D2"/>
    <w:rsid w:val="00B623E0"/>
    <w:rsid w:val="00B67B00"/>
    <w:rsid w:val="00B750D8"/>
    <w:rsid w:val="00B9065A"/>
    <w:rsid w:val="00B9423A"/>
    <w:rsid w:val="00B95F19"/>
    <w:rsid w:val="00BA45E4"/>
    <w:rsid w:val="00BC0058"/>
    <w:rsid w:val="00BC5225"/>
    <w:rsid w:val="00BD216A"/>
    <w:rsid w:val="00BE301B"/>
    <w:rsid w:val="00BF6BFB"/>
    <w:rsid w:val="00C02A28"/>
    <w:rsid w:val="00C10A51"/>
    <w:rsid w:val="00C27334"/>
    <w:rsid w:val="00C3097F"/>
    <w:rsid w:val="00C35D20"/>
    <w:rsid w:val="00C402DF"/>
    <w:rsid w:val="00C93E85"/>
    <w:rsid w:val="00CA2C66"/>
    <w:rsid w:val="00CC2CFB"/>
    <w:rsid w:val="00CC46CA"/>
    <w:rsid w:val="00CC5989"/>
    <w:rsid w:val="00CC5EE3"/>
    <w:rsid w:val="00CC5F30"/>
    <w:rsid w:val="00CD442A"/>
    <w:rsid w:val="00CD559B"/>
    <w:rsid w:val="00CE3EB7"/>
    <w:rsid w:val="00CE5353"/>
    <w:rsid w:val="00CF4EC2"/>
    <w:rsid w:val="00CF5CF1"/>
    <w:rsid w:val="00CF60DF"/>
    <w:rsid w:val="00CF7A03"/>
    <w:rsid w:val="00D03145"/>
    <w:rsid w:val="00D03DE1"/>
    <w:rsid w:val="00D0556E"/>
    <w:rsid w:val="00D2201E"/>
    <w:rsid w:val="00D30BC3"/>
    <w:rsid w:val="00D3264F"/>
    <w:rsid w:val="00D357B9"/>
    <w:rsid w:val="00D42FFA"/>
    <w:rsid w:val="00D46AA3"/>
    <w:rsid w:val="00D517DF"/>
    <w:rsid w:val="00D57194"/>
    <w:rsid w:val="00D81A4E"/>
    <w:rsid w:val="00D83186"/>
    <w:rsid w:val="00DA341B"/>
    <w:rsid w:val="00DA5630"/>
    <w:rsid w:val="00DB3263"/>
    <w:rsid w:val="00DB61ED"/>
    <w:rsid w:val="00DE0F1C"/>
    <w:rsid w:val="00DE150E"/>
    <w:rsid w:val="00DE3F24"/>
    <w:rsid w:val="00DE599F"/>
    <w:rsid w:val="00E06F36"/>
    <w:rsid w:val="00E10922"/>
    <w:rsid w:val="00E25F81"/>
    <w:rsid w:val="00E34459"/>
    <w:rsid w:val="00E401B3"/>
    <w:rsid w:val="00E40228"/>
    <w:rsid w:val="00E47E9D"/>
    <w:rsid w:val="00E503D3"/>
    <w:rsid w:val="00E61D90"/>
    <w:rsid w:val="00E754CE"/>
    <w:rsid w:val="00E84AA9"/>
    <w:rsid w:val="00E91E00"/>
    <w:rsid w:val="00E925AC"/>
    <w:rsid w:val="00EA61D8"/>
    <w:rsid w:val="00EB3F05"/>
    <w:rsid w:val="00EB5631"/>
    <w:rsid w:val="00EC2194"/>
    <w:rsid w:val="00ED2DFF"/>
    <w:rsid w:val="00ED69F1"/>
    <w:rsid w:val="00F16CE2"/>
    <w:rsid w:val="00F351A8"/>
    <w:rsid w:val="00F4589B"/>
    <w:rsid w:val="00F47C8F"/>
    <w:rsid w:val="00F66D29"/>
    <w:rsid w:val="00F809FB"/>
    <w:rsid w:val="00F85819"/>
    <w:rsid w:val="00F925C0"/>
    <w:rsid w:val="00F93B74"/>
    <w:rsid w:val="00F95234"/>
    <w:rsid w:val="00FB465E"/>
    <w:rsid w:val="00FD0BD2"/>
    <w:rsid w:val="00FE22C8"/>
    <w:rsid w:val="21CB1616"/>
  </w:rsids>
  <m:mathPr>
    <m:mathFont m:val="Cambria Math"/>
    <m:brkBin m:val="before"/>
    <m:brkBinSub m:val="--"/>
    <m:smallFrac m:val="0"/>
    <m:dispDef/>
    <m:lMargin m:val="0"/>
    <m:rMargin m:val="0"/>
    <m:defJc m:val="centerGroup"/>
    <m:wrapIndent m:val="1440"/>
    <m:intLim m:val="subSup"/>
    <m:naryLim m:val="undOvr"/>
  </m:mathPr>
  <w:doNotAutoCompressPictures/>
  <w:themeFontLang w:val="en-GB" w:eastAsia="zh-CN"/>
  <w:clrSchemeMapping w:bg1="light1" w:t1="dark1" w:bg2="light2" w:t2="dark2" w:accent1="accent1" w:accent2="accent2" w:accent3="accent3" w:accent4="accent4" w:accent5="accent5" w:accent6="accent6" w:hyperlink="hyperlink" w:followedHyperlink="followedHyperlink"/>
  <w:doNotIncludeSubdocsInSta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nhideWhenUsed="0" w:uiPriority="99"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Times New Roman" w:cs="Times New Roman"/>
      <w:sz w:val="22"/>
      <w:szCs w:val="22"/>
      <w:lang w:val="en-GB" w:eastAsia="en-GB"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5"/>
    <w:semiHidden/>
    <w:unhideWhenUsed/>
    <w:uiPriority w:val="99"/>
    <w:pPr>
      <w:spacing w:after="0" w:line="240" w:lineRule="auto"/>
    </w:pPr>
    <w:rPr>
      <w:rFonts w:ascii="Tahoma" w:hAnsi="Tahoma" w:cs="Tahoma"/>
      <w:sz w:val="16"/>
      <w:szCs w:val="16"/>
    </w:rPr>
  </w:style>
  <w:style w:type="character" w:styleId="5">
    <w:name w:val="annotation reference"/>
    <w:semiHidden/>
    <w:unhideWhenUsed/>
    <w:uiPriority w:val="99"/>
    <w:rPr>
      <w:rFonts w:cs="Times New Roman"/>
      <w:sz w:val="16"/>
      <w:szCs w:val="16"/>
    </w:rPr>
  </w:style>
  <w:style w:type="paragraph" w:styleId="6">
    <w:name w:val="annotation text"/>
    <w:basedOn w:val="1"/>
    <w:link w:val="17"/>
    <w:semiHidden/>
    <w:unhideWhenUsed/>
    <w:uiPriority w:val="99"/>
    <w:rPr>
      <w:sz w:val="20"/>
      <w:szCs w:val="20"/>
    </w:rPr>
  </w:style>
  <w:style w:type="paragraph" w:styleId="7">
    <w:name w:val="annotation subject"/>
    <w:basedOn w:val="6"/>
    <w:next w:val="6"/>
    <w:link w:val="18"/>
    <w:semiHidden/>
    <w:unhideWhenUsed/>
    <w:qFormat/>
    <w:uiPriority w:val="99"/>
    <w:rPr>
      <w:b/>
      <w:bCs/>
    </w:rPr>
  </w:style>
  <w:style w:type="paragraph" w:styleId="8">
    <w:name w:val="footer"/>
    <w:basedOn w:val="1"/>
    <w:link w:val="20"/>
    <w:unhideWhenUsed/>
    <w:qFormat/>
    <w:uiPriority w:val="99"/>
    <w:pPr>
      <w:tabs>
        <w:tab w:val="center" w:pos="4513"/>
        <w:tab w:val="right" w:pos="9026"/>
      </w:tabs>
    </w:pPr>
  </w:style>
  <w:style w:type="paragraph" w:styleId="9">
    <w:name w:val="header"/>
    <w:basedOn w:val="1"/>
    <w:link w:val="19"/>
    <w:unhideWhenUsed/>
    <w:qFormat/>
    <w:uiPriority w:val="0"/>
    <w:pPr>
      <w:tabs>
        <w:tab w:val="center" w:pos="4513"/>
        <w:tab w:val="right" w:pos="9026"/>
      </w:tabs>
    </w:pPr>
  </w:style>
  <w:style w:type="character" w:styleId="10">
    <w:name w:val="Hyperlink"/>
    <w:unhideWhenUsed/>
    <w:uiPriority w:val="99"/>
    <w:rPr>
      <w:rFonts w:cs="Times New Roman"/>
      <w:color w:val="0000FF"/>
      <w:u w:val="single"/>
    </w:rPr>
  </w:style>
  <w:style w:type="paragraph" w:styleId="11">
    <w:name w:val="List Bullet 2"/>
    <w:basedOn w:val="1"/>
    <w:autoRedefine/>
    <w:uiPriority w:val="99"/>
    <w:pPr>
      <w:numPr>
        <w:ilvl w:val="0"/>
        <w:numId w:val="1"/>
      </w:numPr>
      <w:tabs>
        <w:tab w:val="clear" w:pos="643"/>
      </w:tabs>
      <w:spacing w:after="0" w:line="240" w:lineRule="auto"/>
      <w:jc w:val="both"/>
    </w:pPr>
    <w:rPr>
      <w:rFonts w:ascii="Times New Roman" w:hAnsi="Times New Roman"/>
      <w:sz w:val="24"/>
      <w:szCs w:val="20"/>
      <w:lang w:eastAsia="en-US"/>
    </w:rPr>
  </w:style>
  <w:style w:type="paragraph" w:customStyle="1" w:styleId="12">
    <w:name w:val="Default"/>
    <w:uiPriority w:val="0"/>
    <w:pPr>
      <w:autoSpaceDE w:val="0"/>
      <w:autoSpaceDN w:val="0"/>
      <w:adjustRightInd w:val="0"/>
    </w:pPr>
    <w:rPr>
      <w:rFonts w:ascii="Calibri" w:hAnsi="Calibri" w:eastAsia="Times New Roman" w:cs="Calibri"/>
      <w:color w:val="000000"/>
      <w:sz w:val="24"/>
      <w:szCs w:val="24"/>
      <w:lang w:val="en-GB" w:eastAsia="en-GB" w:bidi="ar-SA"/>
    </w:rPr>
  </w:style>
  <w:style w:type="paragraph" w:styleId="13">
    <w:name w:val="No Spacing"/>
    <w:link w:val="16"/>
    <w:qFormat/>
    <w:uiPriority w:val="1"/>
    <w:rPr>
      <w:rFonts w:ascii="Calibri" w:hAnsi="Calibri" w:eastAsia="Times New Roman" w:cs="Times New Roman"/>
      <w:sz w:val="22"/>
      <w:szCs w:val="22"/>
      <w:lang w:val="en-GB" w:eastAsia="en-GB" w:bidi="ar-SA"/>
    </w:rPr>
  </w:style>
  <w:style w:type="paragraph" w:styleId="14">
    <w:name w:val="List Paragraph"/>
    <w:basedOn w:val="1"/>
    <w:qFormat/>
    <w:uiPriority w:val="34"/>
    <w:pPr>
      <w:ind w:left="720"/>
    </w:pPr>
  </w:style>
  <w:style w:type="character" w:customStyle="1" w:styleId="15">
    <w:name w:val="Balloon Text Char"/>
    <w:link w:val="4"/>
    <w:semiHidden/>
    <w:locked/>
    <w:uiPriority w:val="99"/>
    <w:rPr>
      <w:rFonts w:ascii="Tahoma" w:hAnsi="Tahoma" w:cs="Tahoma"/>
      <w:sz w:val="16"/>
      <w:szCs w:val="16"/>
    </w:rPr>
  </w:style>
  <w:style w:type="character" w:customStyle="1" w:styleId="16">
    <w:name w:val="No Spacing Char"/>
    <w:link w:val="13"/>
    <w:locked/>
    <w:uiPriority w:val="1"/>
    <w:rPr>
      <w:lang w:val="en-GB" w:eastAsia="en-GB"/>
    </w:rPr>
  </w:style>
  <w:style w:type="character" w:customStyle="1" w:styleId="17">
    <w:name w:val="Comment Text Char"/>
    <w:link w:val="6"/>
    <w:semiHidden/>
    <w:qFormat/>
    <w:locked/>
    <w:uiPriority w:val="99"/>
    <w:rPr>
      <w:rFonts w:cs="Times New Roman"/>
      <w:sz w:val="20"/>
      <w:szCs w:val="20"/>
    </w:rPr>
  </w:style>
  <w:style w:type="character" w:customStyle="1" w:styleId="18">
    <w:name w:val="Comment Subject Char"/>
    <w:link w:val="7"/>
    <w:semiHidden/>
    <w:qFormat/>
    <w:locked/>
    <w:uiPriority w:val="99"/>
    <w:rPr>
      <w:rFonts w:cs="Times New Roman"/>
      <w:b/>
      <w:bCs/>
      <w:sz w:val="20"/>
      <w:szCs w:val="20"/>
    </w:rPr>
  </w:style>
  <w:style w:type="character" w:customStyle="1" w:styleId="19">
    <w:name w:val="Header Char"/>
    <w:link w:val="9"/>
    <w:qFormat/>
    <w:uiPriority w:val="0"/>
    <w:rPr>
      <w:sz w:val="22"/>
      <w:szCs w:val="22"/>
    </w:rPr>
  </w:style>
  <w:style w:type="character" w:customStyle="1" w:styleId="20">
    <w:name w:val="Footer Char"/>
    <w:link w:val="8"/>
    <w:qFormat/>
    <w:uiPriority w:val="99"/>
    <w:rPr>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3CBB485C9BB342BDDC7D438CB685CF" ma:contentTypeVersion="12" ma:contentTypeDescription="Create a new document." ma:contentTypeScope="" ma:versionID="ec57e2780d2019be13d836e89279ea52">
  <xsd:schema xmlns:xsd="http://www.w3.org/2001/XMLSchema" xmlns:xs="http://www.w3.org/2001/XMLSchema" xmlns:p="http://schemas.microsoft.com/office/2006/metadata/properties" xmlns:ns2="2682aa6d-b3af-43ea-9456-e603008ac3eb" xmlns:ns3="e281f35d-1119-4a31-ba9a-fcb0d0cd1606" targetNamespace="http://schemas.microsoft.com/office/2006/metadata/properties" ma:root="true" ma:fieldsID="f602a4101ad19b4a164074be5a6a2173" ns2:_="" ns3:_="">
    <xsd:import namespace="2682aa6d-b3af-43ea-9456-e603008ac3eb"/>
    <xsd:import namespace="e281f35d-1119-4a31-ba9a-fcb0d0cd160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82aa6d-b3af-43ea-9456-e603008ac3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d846757-7459-491c-b2a3-1a5cc4f2dad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81f35d-1119-4a31-ba9a-fcb0d0cd16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eebd04f-5a8d-4ce6-8ad9-a337904f5a12}" ma:internalName="TaxCatchAll" ma:showField="CatchAllData" ma:web="e281f35d-1119-4a31-ba9a-fcb0d0cd16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682aa6d-b3af-43ea-9456-e603008ac3eb">
      <Terms xmlns="http://schemas.microsoft.com/office/infopath/2007/PartnerControls"/>
    </lcf76f155ced4ddcb4097134ff3c332f>
    <TaxCatchAll xmlns="e281f35d-1119-4a31-ba9a-fcb0d0cd160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14BE0D-1406-498D-8E79-6067AD68C28B}">
  <ds:schemaRefs/>
</ds:datastoreItem>
</file>

<file path=customXml/itemProps2.xml><?xml version="1.0" encoding="utf-8"?>
<ds:datastoreItem xmlns:ds="http://schemas.openxmlformats.org/officeDocument/2006/customXml" ds:itemID="{EB6A1094-22AC-4DB6-A787-5D9D2B54CA8A}">
  <ds:schemaRefs/>
</ds:datastoreItem>
</file>

<file path=customXml/itemProps3.xml><?xml version="1.0" encoding="utf-8"?>
<ds:datastoreItem xmlns:ds="http://schemas.openxmlformats.org/officeDocument/2006/customXml" ds:itemID="{81EAD558-3FE9-4EA6-8906-069BD7C4E04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830</Words>
  <Characters>4734</Characters>
  <Lines>39</Lines>
  <Paragraphs>11</Paragraphs>
  <TotalTime>60</TotalTime>
  <ScaleCrop>false</ScaleCrop>
  <LinksUpToDate>false</LinksUpToDate>
  <CharactersWithSpaces>5553</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2025-08-29T11:45:00Z</dcterms:created>
  <dc:creator>Gareth Morgan</dc:creator>
  <cp:lastModifiedBy>David White</cp:lastModifiedBy>
  <cp:lastPrinted>2016-05-06T14:09:00Z</cp:lastPrinted>
  <dcterms:modified xsi:type="dcterms:W3CDTF">2025-11-27T13:59:07Z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0x010100013CBB485C9BB342BDDC7D438CB685CF</vt:lpwstr>
  </property>
  <property fmtid="{D5CDD505-2E9C-101B-9397-08002B2CF9AE}" pid="3" name="MediaServiceImageTags">
    <vt:lpwstr/>
  </property>
  <property fmtid="{D5CDD505-2E9C-101B-9397-08002B2CF9AE}" pid="4" name="KSOProductBuildVer">
    <vt:lpwstr>2057-12.2.0.23155</vt:lpwstr>
  </property>
  <property fmtid="{D5CDD505-2E9C-101B-9397-08002B2CF9AE}" pid="5" name="ICV">
    <vt:lpwstr>7BE3A2229DD54FCFB3F9719C4CA5518C_13</vt:lpwstr>
  </property>
</Properties>
</file>